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9A92" w14:textId="77777777" w:rsidR="00410DCC" w:rsidRDefault="00410DCC">
      <w:pPr>
        <w:pStyle w:val="BodyText"/>
        <w:spacing w:before="1"/>
        <w:rPr>
          <w:rFonts w:ascii="Times New Roman"/>
          <w:sz w:val="17"/>
        </w:rPr>
      </w:pPr>
    </w:p>
    <w:p w14:paraId="298BD2D2" w14:textId="07FDFA12" w:rsidR="00410DCC" w:rsidRPr="004A4583" w:rsidRDefault="006804DA" w:rsidP="004A4583">
      <w:pPr>
        <w:pStyle w:val="Title"/>
        <w:rPr>
          <w:rFonts w:ascii="Montserrat" w:hAnsi="Montserrat"/>
        </w:rPr>
      </w:pPr>
      <w:r w:rsidRPr="004A4583">
        <w:rPr>
          <w:rFonts w:ascii="Montserrat" w:hAnsi="Montserrat"/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3147637B" wp14:editId="1AC03E40">
            <wp:simplePos x="0" y="0"/>
            <wp:positionH relativeFrom="page">
              <wp:posOffset>474979</wp:posOffset>
            </wp:positionH>
            <wp:positionV relativeFrom="paragraph">
              <wp:posOffset>-129713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583">
        <w:rPr>
          <w:rFonts w:ascii="Montserrat" w:hAnsi="Montserrat"/>
          <w:color w:val="001E62"/>
        </w:rPr>
        <w:t>JOB</w:t>
      </w:r>
      <w:r w:rsidRPr="004A4583">
        <w:rPr>
          <w:rFonts w:ascii="Montserrat" w:hAnsi="Montserrat"/>
          <w:color w:val="001E62"/>
          <w:spacing w:val="-1"/>
        </w:rPr>
        <w:t xml:space="preserve"> </w:t>
      </w:r>
      <w:r w:rsidRPr="004A4583">
        <w:rPr>
          <w:rFonts w:ascii="Montserrat" w:hAnsi="Montserrat"/>
          <w:color w:val="001E62"/>
        </w:rPr>
        <w:t>DESCRIPTION</w:t>
      </w:r>
    </w:p>
    <w:p w14:paraId="74239BD3" w14:textId="77777777" w:rsidR="00410DCC" w:rsidRDefault="00410DCC">
      <w:pPr>
        <w:pStyle w:val="BodyText"/>
        <w:rPr>
          <w:rFonts w:ascii="Times New Roman"/>
          <w:b/>
        </w:rPr>
      </w:pPr>
    </w:p>
    <w:p w14:paraId="151DF02E" w14:textId="77777777" w:rsidR="00410DCC" w:rsidRDefault="00410DCC">
      <w:pPr>
        <w:pStyle w:val="BodyText"/>
        <w:spacing w:before="5" w:after="1"/>
        <w:rPr>
          <w:rFonts w:ascii="Times New Roman"/>
          <w:b/>
          <w:sz w:val="10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842"/>
        <w:gridCol w:w="994"/>
        <w:gridCol w:w="1418"/>
      </w:tblGrid>
      <w:tr w:rsidR="00410DCC" w14:paraId="33E182F2" w14:textId="77777777">
        <w:trPr>
          <w:trHeight w:val="491"/>
        </w:trPr>
        <w:tc>
          <w:tcPr>
            <w:tcW w:w="1668" w:type="dxa"/>
            <w:shd w:val="clear" w:color="auto" w:fill="001E62"/>
          </w:tcPr>
          <w:p w14:paraId="3893D85F" w14:textId="77777777" w:rsidR="00410DCC" w:rsidRPr="004A4583" w:rsidRDefault="006804DA">
            <w:pPr>
              <w:pStyle w:val="TableParagraph"/>
              <w:spacing w:line="253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Job</w:t>
            </w:r>
            <w:r w:rsidRPr="004A4583">
              <w:rPr>
                <w:b/>
                <w:color w:val="FFFFFF"/>
                <w:spacing w:val="-1"/>
              </w:rPr>
              <w:t xml:space="preserve"> </w:t>
            </w:r>
            <w:r w:rsidRPr="004A4583">
              <w:rPr>
                <w:b/>
                <w:color w:val="FFFFFF"/>
              </w:rPr>
              <w:t>Title</w:t>
            </w:r>
          </w:p>
        </w:tc>
        <w:tc>
          <w:tcPr>
            <w:tcW w:w="4254" w:type="dxa"/>
            <w:gridSpan w:val="3"/>
          </w:tcPr>
          <w:p w14:paraId="1AE08F2D" w14:textId="15522DE6" w:rsidR="00410DCC" w:rsidRPr="0085255F" w:rsidRDefault="00486C6D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color w:val="001E62"/>
              </w:rPr>
              <w:t xml:space="preserve">Brand </w:t>
            </w:r>
            <w:r w:rsidR="00B8394C">
              <w:rPr>
                <w:b/>
                <w:color w:val="001E62"/>
              </w:rPr>
              <w:t>Ident</w:t>
            </w:r>
            <w:r w:rsidR="001648E2">
              <w:rPr>
                <w:b/>
                <w:color w:val="001E62"/>
              </w:rPr>
              <w:t>ity</w:t>
            </w:r>
            <w:r>
              <w:rPr>
                <w:b/>
                <w:color w:val="001E62"/>
              </w:rPr>
              <w:t xml:space="preserve"> Manager</w:t>
            </w:r>
          </w:p>
        </w:tc>
      </w:tr>
      <w:tr w:rsidR="00410DCC" w14:paraId="1C17FD50" w14:textId="77777777">
        <w:trPr>
          <w:trHeight w:val="490"/>
        </w:trPr>
        <w:tc>
          <w:tcPr>
            <w:tcW w:w="1668" w:type="dxa"/>
            <w:shd w:val="clear" w:color="auto" w:fill="001E62"/>
          </w:tcPr>
          <w:p w14:paraId="6D695055" w14:textId="77777777" w:rsidR="00410DCC" w:rsidRPr="004A4583" w:rsidRDefault="006804DA">
            <w:pPr>
              <w:pStyle w:val="TableParagraph"/>
              <w:spacing w:line="251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Reports</w:t>
            </w:r>
            <w:r w:rsidRPr="004A4583">
              <w:rPr>
                <w:b/>
                <w:color w:val="FFFFFF"/>
                <w:spacing w:val="-2"/>
              </w:rPr>
              <w:t xml:space="preserve"> </w:t>
            </w:r>
            <w:r w:rsidRPr="004A4583">
              <w:rPr>
                <w:b/>
                <w:color w:val="FFFFFF"/>
              </w:rPr>
              <w:t>to</w:t>
            </w:r>
          </w:p>
        </w:tc>
        <w:tc>
          <w:tcPr>
            <w:tcW w:w="4254" w:type="dxa"/>
            <w:gridSpan w:val="3"/>
          </w:tcPr>
          <w:p w14:paraId="7C3BC596" w14:textId="334076BB" w:rsidR="00410DCC" w:rsidRPr="0085255F" w:rsidRDefault="00ED0B3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001E62"/>
              </w:rPr>
              <w:t>Content Operations Lead</w:t>
            </w:r>
          </w:p>
        </w:tc>
      </w:tr>
      <w:tr w:rsidR="00410DCC" w14:paraId="1C88C90A" w14:textId="77777777">
        <w:trPr>
          <w:trHeight w:val="576"/>
        </w:trPr>
        <w:tc>
          <w:tcPr>
            <w:tcW w:w="1668" w:type="dxa"/>
            <w:shd w:val="clear" w:color="auto" w:fill="001E62"/>
          </w:tcPr>
          <w:p w14:paraId="5F5D963D" w14:textId="77777777" w:rsidR="00410DCC" w:rsidRPr="004A4583" w:rsidRDefault="006804DA">
            <w:pPr>
              <w:pStyle w:val="TableParagraph"/>
              <w:spacing w:line="253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Department</w:t>
            </w:r>
          </w:p>
        </w:tc>
        <w:tc>
          <w:tcPr>
            <w:tcW w:w="4254" w:type="dxa"/>
            <w:gridSpan w:val="3"/>
          </w:tcPr>
          <w:p w14:paraId="24599A7F" w14:textId="61E501E5" w:rsidR="00410DCC" w:rsidRPr="0085255F" w:rsidRDefault="00041ED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color w:val="001E62"/>
              </w:rPr>
              <w:t>Brand and Marketing</w:t>
            </w:r>
          </w:p>
        </w:tc>
      </w:tr>
      <w:tr w:rsidR="00410DCC" w14:paraId="074DA31D" w14:textId="77777777">
        <w:trPr>
          <w:trHeight w:val="549"/>
        </w:trPr>
        <w:tc>
          <w:tcPr>
            <w:tcW w:w="1668" w:type="dxa"/>
            <w:shd w:val="clear" w:color="auto" w:fill="001E62"/>
          </w:tcPr>
          <w:p w14:paraId="46954260" w14:textId="77777777" w:rsidR="00410DCC" w:rsidRPr="004A4583" w:rsidRDefault="006804DA">
            <w:pPr>
              <w:pStyle w:val="TableParagraph"/>
              <w:spacing w:line="251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Job</w:t>
            </w:r>
            <w:r w:rsidRPr="004A4583">
              <w:rPr>
                <w:b/>
                <w:color w:val="FFFFFF"/>
                <w:spacing w:val="-1"/>
              </w:rPr>
              <w:t xml:space="preserve"> </w:t>
            </w:r>
            <w:r w:rsidRPr="004A4583">
              <w:rPr>
                <w:b/>
                <w:color w:val="FFFFFF"/>
              </w:rPr>
              <w:t>Family</w:t>
            </w:r>
          </w:p>
        </w:tc>
        <w:tc>
          <w:tcPr>
            <w:tcW w:w="1842" w:type="dxa"/>
          </w:tcPr>
          <w:p w14:paraId="67202A20" w14:textId="77777777" w:rsidR="00410DCC" w:rsidRPr="0085255F" w:rsidRDefault="006804DA">
            <w:pPr>
              <w:pStyle w:val="TableParagraph"/>
              <w:spacing w:line="303" w:lineRule="exact"/>
              <w:rPr>
                <w:b/>
              </w:rPr>
            </w:pPr>
            <w:r w:rsidRPr="0085255F">
              <w:rPr>
                <w:b/>
                <w:color w:val="001E62"/>
              </w:rPr>
              <w:t>Brand</w:t>
            </w:r>
          </w:p>
        </w:tc>
        <w:tc>
          <w:tcPr>
            <w:tcW w:w="994" w:type="dxa"/>
            <w:shd w:val="clear" w:color="auto" w:fill="001E62"/>
          </w:tcPr>
          <w:p w14:paraId="57FCF1E1" w14:textId="77777777" w:rsidR="00410DCC" w:rsidRPr="004A4583" w:rsidRDefault="006804DA">
            <w:pPr>
              <w:pStyle w:val="TableParagraph"/>
              <w:spacing w:line="251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Level</w:t>
            </w:r>
          </w:p>
        </w:tc>
        <w:tc>
          <w:tcPr>
            <w:tcW w:w="1418" w:type="dxa"/>
          </w:tcPr>
          <w:p w14:paraId="1DD81FEE" w14:textId="25966AC3" w:rsidR="00410DCC" w:rsidRPr="0085255F" w:rsidRDefault="00486C6D">
            <w:pPr>
              <w:pStyle w:val="TableParagraph"/>
              <w:spacing w:line="303" w:lineRule="exact"/>
              <w:rPr>
                <w:b/>
              </w:rPr>
            </w:pPr>
            <w:r>
              <w:rPr>
                <w:b/>
                <w:color w:val="001E62"/>
                <w:w w:val="99"/>
              </w:rPr>
              <w:t>4</w:t>
            </w:r>
          </w:p>
        </w:tc>
      </w:tr>
    </w:tbl>
    <w:p w14:paraId="4877451C" w14:textId="77777777" w:rsidR="00410DCC" w:rsidRDefault="00410DCC">
      <w:pPr>
        <w:pStyle w:val="BodyText"/>
        <w:rPr>
          <w:rFonts w:ascii="Times New Roman"/>
          <w:b/>
        </w:rPr>
      </w:pPr>
    </w:p>
    <w:p w14:paraId="22A31825" w14:textId="77777777" w:rsidR="00410DCC" w:rsidRDefault="00410DCC">
      <w:pPr>
        <w:pStyle w:val="BodyText"/>
        <w:spacing w:before="5"/>
        <w:rPr>
          <w:rFonts w:ascii="Times New Roman"/>
          <w:b/>
          <w:sz w:val="15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410DCC" w14:paraId="28ADA857" w14:textId="77777777">
        <w:trPr>
          <w:trHeight w:val="513"/>
        </w:trPr>
        <w:tc>
          <w:tcPr>
            <w:tcW w:w="8897" w:type="dxa"/>
            <w:shd w:val="clear" w:color="auto" w:fill="001E62"/>
          </w:tcPr>
          <w:p w14:paraId="65E1F62A" w14:textId="77777777" w:rsidR="00410DCC" w:rsidRPr="004A4583" w:rsidRDefault="006804DA">
            <w:pPr>
              <w:pStyle w:val="TableParagraph"/>
              <w:rPr>
                <w:b/>
              </w:rPr>
            </w:pPr>
            <w:r w:rsidRPr="004A4583">
              <w:rPr>
                <w:b/>
                <w:color w:val="FFFFFF"/>
              </w:rPr>
              <w:t>About</w:t>
            </w:r>
            <w:r w:rsidRPr="004A4583">
              <w:rPr>
                <w:b/>
                <w:color w:val="FFFFFF"/>
                <w:spacing w:val="22"/>
              </w:rPr>
              <w:t xml:space="preserve"> </w:t>
            </w:r>
            <w:r w:rsidRPr="004A4583">
              <w:rPr>
                <w:b/>
                <w:color w:val="FFFFFF"/>
              </w:rPr>
              <w:t>the</w:t>
            </w:r>
            <w:r w:rsidRPr="004A4583">
              <w:rPr>
                <w:b/>
                <w:color w:val="FFFFFF"/>
                <w:spacing w:val="25"/>
              </w:rPr>
              <w:t xml:space="preserve"> </w:t>
            </w:r>
            <w:r w:rsidRPr="004A4583">
              <w:rPr>
                <w:b/>
                <w:color w:val="FFFFFF"/>
              </w:rPr>
              <w:t>School</w:t>
            </w:r>
          </w:p>
        </w:tc>
      </w:tr>
      <w:tr w:rsidR="00F14794" w14:paraId="1A8F3274" w14:textId="77777777" w:rsidTr="00F14794">
        <w:trPr>
          <w:trHeight w:val="3755"/>
        </w:trPr>
        <w:tc>
          <w:tcPr>
            <w:tcW w:w="8897" w:type="dxa"/>
          </w:tcPr>
          <w:p w14:paraId="39787561" w14:textId="77777777" w:rsidR="00F14794" w:rsidRPr="00F14794" w:rsidRDefault="00F14794" w:rsidP="00F14794">
            <w:pPr>
              <w:rPr>
                <w:color w:val="002060"/>
                <w:sz w:val="20"/>
                <w:szCs w:val="20"/>
              </w:rPr>
            </w:pPr>
            <w:r w:rsidRPr="00F14794">
              <w:rPr>
                <w:color w:val="002060"/>
                <w:sz w:val="20"/>
                <w:szCs w:val="20"/>
              </w:rPr>
              <w:t xml:space="preserve">At London Business School, we strive to have a profound impact on the way the world does business and the way business impacts the world. Our departments work hard to ensure that we are continually delivering a world-class service, academic excellence and that our course offering maintains our place as a leading business school. </w:t>
            </w:r>
          </w:p>
          <w:p w14:paraId="5D3BD6E3" w14:textId="77777777" w:rsidR="00F14794" w:rsidRPr="00F14794" w:rsidRDefault="00F14794" w:rsidP="00F14794">
            <w:pPr>
              <w:rPr>
                <w:color w:val="002060"/>
                <w:sz w:val="20"/>
                <w:szCs w:val="20"/>
              </w:rPr>
            </w:pPr>
            <w:r w:rsidRPr="00F14794">
              <w:rPr>
                <w:color w:val="002060"/>
                <w:sz w:val="20"/>
                <w:szCs w:val="20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F14794">
              <w:rPr>
                <w:color w:val="002060"/>
                <w:sz w:val="20"/>
                <w:szCs w:val="20"/>
              </w:rPr>
              <w:t>customised</w:t>
            </w:r>
            <w:proofErr w:type="spellEnd"/>
            <w:r w:rsidRPr="00F14794">
              <w:rPr>
                <w:color w:val="002060"/>
                <w:sz w:val="20"/>
                <w:szCs w:val="20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74CA93A6" w14:textId="5BAFBBB3" w:rsidR="00F14794" w:rsidRDefault="00F14794" w:rsidP="00F14794">
            <w:pPr>
              <w:pStyle w:val="TableParagraph"/>
              <w:ind w:left="0" w:right="192"/>
              <w:jc w:val="both"/>
              <w:rPr>
                <w:sz w:val="20"/>
              </w:rPr>
            </w:pPr>
            <w:r w:rsidRPr="00F14794">
              <w:rPr>
                <w:color w:val="002060"/>
                <w:sz w:val="20"/>
                <w:szCs w:val="20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028F5C65" w14:textId="77777777" w:rsidR="00410DCC" w:rsidRDefault="00410DCC">
      <w:pPr>
        <w:pStyle w:val="BodyText"/>
        <w:rPr>
          <w:rFonts w:ascii="Times New Roman"/>
          <w:b/>
        </w:rPr>
      </w:pPr>
    </w:p>
    <w:p w14:paraId="50D83069" w14:textId="77777777" w:rsidR="00410DCC" w:rsidRDefault="00410DCC">
      <w:pPr>
        <w:pStyle w:val="BodyText"/>
        <w:spacing w:before="1" w:after="1"/>
        <w:rPr>
          <w:rFonts w:ascii="Times New Roman"/>
          <w:b/>
          <w:sz w:val="15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410DCC" w14:paraId="165F4E8E" w14:textId="77777777">
        <w:trPr>
          <w:trHeight w:val="513"/>
        </w:trPr>
        <w:tc>
          <w:tcPr>
            <w:tcW w:w="8897" w:type="dxa"/>
            <w:shd w:val="clear" w:color="auto" w:fill="001E62"/>
          </w:tcPr>
          <w:p w14:paraId="10C5FBF3" w14:textId="77777777" w:rsidR="00410DCC" w:rsidRPr="004A4583" w:rsidRDefault="006804DA">
            <w:pPr>
              <w:pStyle w:val="TableParagraph"/>
              <w:rPr>
                <w:b/>
              </w:rPr>
            </w:pPr>
            <w:r w:rsidRPr="004A4583">
              <w:rPr>
                <w:b/>
                <w:color w:val="FFFFFF"/>
              </w:rPr>
              <w:t>About</w:t>
            </w:r>
            <w:r w:rsidRPr="004A4583">
              <w:rPr>
                <w:b/>
                <w:color w:val="FFFFFF"/>
                <w:spacing w:val="25"/>
              </w:rPr>
              <w:t xml:space="preserve"> </w:t>
            </w:r>
            <w:r w:rsidRPr="004A4583">
              <w:rPr>
                <w:b/>
                <w:color w:val="FFFFFF"/>
              </w:rPr>
              <w:t>the</w:t>
            </w:r>
            <w:r w:rsidRPr="004A4583">
              <w:rPr>
                <w:b/>
                <w:color w:val="FFFFFF"/>
                <w:spacing w:val="28"/>
              </w:rPr>
              <w:t xml:space="preserve"> </w:t>
            </w:r>
            <w:r w:rsidRPr="004A4583">
              <w:rPr>
                <w:b/>
                <w:color w:val="FFFFFF"/>
              </w:rPr>
              <w:t>Department</w:t>
            </w:r>
          </w:p>
        </w:tc>
      </w:tr>
    </w:tbl>
    <w:p w14:paraId="03F13815" w14:textId="7B78A686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  <w:r>
        <w:rPr>
          <w:rFonts w:ascii="Times New Roman"/>
          <w:bCs/>
          <w:noProof/>
          <w:sz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9632E" wp14:editId="45935ADC">
                <wp:simplePos x="0" y="0"/>
                <wp:positionH relativeFrom="column">
                  <wp:posOffset>317500</wp:posOffset>
                </wp:positionH>
                <wp:positionV relativeFrom="paragraph">
                  <wp:posOffset>6350</wp:posOffset>
                </wp:positionV>
                <wp:extent cx="5638800" cy="358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58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E4BA" w14:textId="362C7256" w:rsidR="00950865" w:rsidRPr="00F14794" w:rsidRDefault="00950865" w:rsidP="00950865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The purpose of the Engagement department is </w:t>
                            </w:r>
                            <w:r w:rsidRPr="00F14794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t</w:t>
                            </w:r>
                            <w:r w:rsidRPr="00F14794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o develop a deep understanding of our community and enable LBS to offer experiences that attract, </w:t>
                            </w:r>
                            <w:proofErr w:type="gramStart"/>
                            <w:r w:rsidRPr="00F14794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  <w:lang w:val="en-GB"/>
                              </w:rPr>
                              <w:t>inspire</w:t>
                            </w:r>
                            <w:proofErr w:type="gramEnd"/>
                            <w:r w:rsidRPr="00F14794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and connect on our journey together</w:t>
                            </w: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. It includes our Advancement, </w:t>
                            </w:r>
                            <w:r w:rsidRPr="00F14794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Brand and Marketing</w:t>
                            </w: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and Communications functions, which are responsible for engaging our audiences throughout their LBS journey and promoting a culture of philanthropy to amplify the </w:t>
                            </w:r>
                            <w:proofErr w:type="gramStart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School’s</w:t>
                            </w:r>
                            <w:proofErr w:type="gramEnd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impact. </w:t>
                            </w:r>
                          </w:p>
                          <w:p w14:paraId="60570CA8" w14:textId="77777777" w:rsidR="00F14794" w:rsidRPr="00F14794" w:rsidRDefault="00950865" w:rsidP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LBS has over a hundred faculty, conducting world-class research in accounting, economics, finance, management science, marketing, </w:t>
                            </w:r>
                            <w:proofErr w:type="spellStart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organisational</w:t>
                            </w:r>
                            <w:proofErr w:type="spellEnd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behavior, </w:t>
                            </w:r>
                            <w:proofErr w:type="gramStart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strategy</w:t>
                            </w:r>
                            <w:proofErr w:type="gramEnd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and entrepreneurship. </w:t>
                            </w:r>
                            <w:r w:rsidR="00F14794"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We have four research institutes focusing on thought-leadership and impact, and a vibrant network of student and alumni clubs. </w:t>
                            </w:r>
                          </w:p>
                          <w:p w14:paraId="068D6233" w14:textId="77777777" w:rsidR="00F14794" w:rsidRPr="00F14794" w:rsidRDefault="00F14794" w:rsidP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D66A4E3" w14:textId="203A3375" w:rsidR="00950865" w:rsidRDefault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Together, they generate a remarkable flow of high-quality content activity for our global community of more than 50,000 current students and alumni. </w:t>
                            </w:r>
                          </w:p>
                          <w:p w14:paraId="044DC64E" w14:textId="77777777" w:rsidR="00F14794" w:rsidRDefault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3838567" w14:textId="77777777" w:rsidR="00F14794" w:rsidRPr="00F14794" w:rsidRDefault="00F14794" w:rsidP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F14794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Brand &amp; Marketing</w:t>
                            </w: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team </w:t>
                            </w:r>
                            <w:r w:rsidRPr="00F14794">
                              <w:rPr>
                                <w:color w:val="002060"/>
                                <w:sz w:val="20"/>
                                <w:szCs w:val="20"/>
                              </w:rPr>
                              <w:t>are the voice of our customers, and</w:t>
                            </w:r>
                            <w:r w:rsidRPr="00F14794">
                              <w:rPr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e work </w:t>
                            </w:r>
                            <w:proofErr w:type="gramStart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hand-in-hand</w:t>
                            </w:r>
                            <w:proofErr w:type="gramEnd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with our business unit partners to take our learning offer, learning experiences/outcomes and faculty thought-leadership to market - to specifically appeal to, drive consideration and preference for, and support advocacy of the LBS brand as a learning partner </w:t>
                            </w:r>
                            <w:r w:rsidRPr="00F14794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throughout</w:t>
                            </w:r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individual careers and </w:t>
                            </w:r>
                            <w:proofErr w:type="spellStart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organisational</w:t>
                            </w:r>
                            <w:proofErr w:type="spellEnd"/>
                            <w:r w:rsidRPr="00F14794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transformation.</w:t>
                            </w:r>
                          </w:p>
                          <w:p w14:paraId="17F2AA7F" w14:textId="77777777" w:rsidR="00F14794" w:rsidRPr="00F14794" w:rsidRDefault="00F14794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963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.5pt;width:444pt;height:2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" fillcolor="white [3201]" strokeweight=".5pt">
                <v:textbox>
                  <w:txbxContent>
                    <w:p w14:paraId="54BBE4BA" w14:textId="362C7256" w:rsidR="00950865" w:rsidRPr="00F14794" w:rsidRDefault="00950865" w:rsidP="00950865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The purpose of the Engagement department is </w:t>
                      </w:r>
                      <w:r w:rsidRPr="00F14794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t</w:t>
                      </w:r>
                      <w:r w:rsidRPr="00F14794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  <w:lang w:val="en-GB"/>
                        </w:rPr>
                        <w:t xml:space="preserve">o develop a deep understanding of our community and enable LBS to offer experiences that attract, </w:t>
                      </w:r>
                      <w:proofErr w:type="gramStart"/>
                      <w:r w:rsidRPr="00F14794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  <w:lang w:val="en-GB"/>
                        </w:rPr>
                        <w:t>inspire</w:t>
                      </w:r>
                      <w:proofErr w:type="gramEnd"/>
                      <w:r w:rsidRPr="00F14794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  <w:lang w:val="en-GB"/>
                        </w:rPr>
                        <w:t xml:space="preserve"> and connect on our journey together</w:t>
                      </w: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. It includes our Advancement, </w:t>
                      </w:r>
                      <w:r w:rsidRPr="00F14794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Brand and Marketing</w:t>
                      </w: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and Communications functions, which are responsible for engaging our audiences throughout their LBS journey and promoting a culture of philanthropy to amplify the </w:t>
                      </w:r>
                      <w:proofErr w:type="gramStart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>School’s</w:t>
                      </w:r>
                      <w:proofErr w:type="gramEnd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impact. </w:t>
                      </w:r>
                    </w:p>
                    <w:p w14:paraId="60570CA8" w14:textId="77777777" w:rsidR="00F14794" w:rsidRPr="00F14794" w:rsidRDefault="00950865" w:rsidP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LBS has over a hundred faculty, conducting world-class research in accounting, economics, finance, management science, marketing, </w:t>
                      </w:r>
                      <w:proofErr w:type="spellStart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>organisational</w:t>
                      </w:r>
                      <w:proofErr w:type="spellEnd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behavior, </w:t>
                      </w:r>
                      <w:proofErr w:type="gramStart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>strategy</w:t>
                      </w:r>
                      <w:proofErr w:type="gramEnd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and entrepreneurship. </w:t>
                      </w:r>
                      <w:r w:rsidR="00F14794"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We have four research institutes focusing on thought-leadership and impact, and a vibrant network of student and alumni clubs. </w:t>
                      </w:r>
                    </w:p>
                    <w:p w14:paraId="068D6233" w14:textId="77777777" w:rsidR="00F14794" w:rsidRPr="00F14794" w:rsidRDefault="00F14794" w:rsidP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2D66A4E3" w14:textId="203A3375" w:rsidR="00950865" w:rsidRDefault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Together, they generate a remarkable flow of high-quality content activity for our global community of more than 50,000 current students and alumni. </w:t>
                      </w:r>
                    </w:p>
                    <w:p w14:paraId="044DC64E" w14:textId="77777777" w:rsidR="00F14794" w:rsidRDefault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53838567" w14:textId="77777777" w:rsidR="00F14794" w:rsidRPr="00F14794" w:rsidRDefault="00F14794" w:rsidP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The </w:t>
                      </w:r>
                      <w:r w:rsidRPr="00F14794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Brand &amp; Marketing</w:t>
                      </w: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team </w:t>
                      </w:r>
                      <w:r w:rsidRPr="00F14794">
                        <w:rPr>
                          <w:color w:val="002060"/>
                          <w:sz w:val="20"/>
                          <w:szCs w:val="20"/>
                        </w:rPr>
                        <w:t>are the voice of our customers, and</w:t>
                      </w:r>
                      <w:r w:rsidRPr="00F14794">
                        <w:rPr>
                          <w:sz w:val="20"/>
                          <w:szCs w:val="20"/>
                        </w:rPr>
                        <w:t xml:space="preserve"> w</w:t>
                      </w: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e work </w:t>
                      </w:r>
                      <w:proofErr w:type="gramStart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>hand-in-hand</w:t>
                      </w:r>
                      <w:proofErr w:type="gramEnd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with our business unit partners to take our learning offer, learning experiences/outcomes and faculty thought-leadership to market - to specifically appeal to, drive consideration and preference for, and support advocacy of the LBS brand as a learning partner </w:t>
                      </w:r>
                      <w:r w:rsidRPr="00F14794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throughout</w:t>
                      </w:r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individual careers and </w:t>
                      </w:r>
                      <w:proofErr w:type="spellStart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>organisational</w:t>
                      </w:r>
                      <w:proofErr w:type="spellEnd"/>
                      <w:r w:rsidRPr="00F14794"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transformation.</w:t>
                      </w:r>
                    </w:p>
                    <w:p w14:paraId="17F2AA7F" w14:textId="77777777" w:rsidR="00F14794" w:rsidRPr="00F14794" w:rsidRDefault="00F14794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F20A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29287F74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655FA451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3B433416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488A4CB6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31948638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24997AA2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06FA7B66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49D830AE" w14:textId="51304670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244F7BC0" w14:textId="69DC3D1F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1B916E59" w14:textId="33791F18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6B16A36C" w14:textId="43A205D3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38700802" w14:textId="77A1B441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6200F01C" w14:textId="253A732F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30C9F906" w14:textId="10BC48D2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2A2CC70D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47425C75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43BFBC73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70B48E7D" w14:textId="77777777" w:rsid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p w14:paraId="665A7920" w14:textId="77777777" w:rsidR="00950865" w:rsidRPr="00950865" w:rsidRDefault="00950865">
      <w:pPr>
        <w:pStyle w:val="BodyText"/>
        <w:spacing w:before="8"/>
        <w:rPr>
          <w:rFonts w:ascii="Times New Roman"/>
          <w:bCs/>
          <w:sz w:val="29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410DCC" w14:paraId="10F303AA" w14:textId="77777777">
        <w:trPr>
          <w:trHeight w:val="511"/>
        </w:trPr>
        <w:tc>
          <w:tcPr>
            <w:tcW w:w="8897" w:type="dxa"/>
            <w:shd w:val="clear" w:color="auto" w:fill="001E62"/>
          </w:tcPr>
          <w:p w14:paraId="631AA9DA" w14:textId="77777777" w:rsidR="00410DCC" w:rsidRPr="004A4583" w:rsidRDefault="006804DA">
            <w:pPr>
              <w:pStyle w:val="TableParagraph"/>
              <w:spacing w:line="272" w:lineRule="exact"/>
              <w:rPr>
                <w:b/>
              </w:rPr>
            </w:pPr>
            <w:r w:rsidRPr="004A4583">
              <w:rPr>
                <w:b/>
                <w:color w:val="FFFFFF"/>
              </w:rPr>
              <w:t>Job</w:t>
            </w:r>
            <w:r w:rsidRPr="004A4583">
              <w:rPr>
                <w:b/>
                <w:color w:val="FFFFFF"/>
                <w:spacing w:val="21"/>
              </w:rPr>
              <w:t xml:space="preserve"> </w:t>
            </w:r>
            <w:r w:rsidRPr="004A4583">
              <w:rPr>
                <w:b/>
                <w:color w:val="FFFFFF"/>
              </w:rPr>
              <w:t>Purpose</w:t>
            </w:r>
          </w:p>
        </w:tc>
      </w:tr>
      <w:tr w:rsidR="00410DCC" w14:paraId="2B20FB20" w14:textId="77777777" w:rsidTr="004A4583">
        <w:trPr>
          <w:trHeight w:val="2666"/>
        </w:trPr>
        <w:tc>
          <w:tcPr>
            <w:tcW w:w="8897" w:type="dxa"/>
          </w:tcPr>
          <w:p w14:paraId="1ABD0C21" w14:textId="11A20231" w:rsidR="00B11E67" w:rsidRDefault="00527F32" w:rsidP="001C62C0">
            <w:pPr>
              <w:widowControl/>
              <w:autoSpaceDE/>
              <w:autoSpaceDN/>
              <w:spacing w:after="240" w:line="288" w:lineRule="auto"/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This </w:t>
            </w:r>
            <w:r w:rsidR="00950865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role sits within </w:t>
            </w:r>
            <w:r w:rsidR="00950865" w:rsidRPr="00950865">
              <w:rPr>
                <w:rFonts w:eastAsia="Times New Roman" w:cs="Arial"/>
                <w:b/>
                <w:bCs/>
                <w:color w:val="001E61"/>
                <w:sz w:val="20"/>
                <w:szCs w:val="20"/>
                <w:lang w:val="en-GB" w:eastAsia="en-GB"/>
              </w:rPr>
              <w:t>Brand &amp; Marketing</w:t>
            </w:r>
            <w:r w:rsidR="00950865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and is </w:t>
            </w: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 critical role in </w:t>
            </w:r>
            <w:r w:rsidR="00357AB2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continuing to embed</w:t>
            </w:r>
            <w:r w:rsidR="007F3F7E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and oversee</w:t>
            </w: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the content and collateral production of London Business School assets to a Self-Serve</w:t>
            </w:r>
            <w:r w:rsidR="008704A9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, </w:t>
            </w:r>
            <w:r w:rsidR="003E592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Lead Creative </w:t>
            </w: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Agency</w:t>
            </w:r>
            <w:r w:rsidR="003E592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8704A9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and</w:t>
            </w:r>
            <w:r w:rsidR="003E592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Freelancer model</w:t>
            </w:r>
            <w:r w:rsidR="00CD3911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.</w:t>
            </w:r>
            <w:r w:rsid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It involves overseeing colleagues, partners, and all commissioned suppliers in the creation and delivery of artwork,</w:t>
            </w:r>
            <w:r w:rsidR="009E32FD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copy &amp;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design, </w:t>
            </w:r>
            <w:r w:rsidR="009E32FD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motion graphics and </w:t>
            </w:r>
            <w:r w:rsidR="00F72AAC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audio and 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video</w:t>
            </w:r>
            <w:r w:rsidR="00F72AAC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production.</w:t>
            </w:r>
            <w:r w:rsidR="009E32FD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The primary</w:t>
            </w:r>
            <w:r w:rsidR="00031435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focus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490DC7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will be</w:t>
            </w:r>
            <w:r w:rsidR="00A2485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to ensure</w:t>
            </w:r>
            <w:r w:rsidR="00E069E6" w:rsidRPr="00E069E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that all produced work aligns with Brand Guidelines and accurately reflects the School’s visual identity</w:t>
            </w:r>
            <w:r w:rsidR="000A0BBA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and tone of voice.</w:t>
            </w:r>
            <w:r w:rsidR="008B2A19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</w:p>
          <w:p w14:paraId="785FBFA4" w14:textId="6EB670E3" w:rsidR="0085354E" w:rsidRDefault="004F7136" w:rsidP="0085354E">
            <w:pPr>
              <w:widowControl/>
              <w:autoSpaceDE/>
              <w:autoSpaceDN/>
              <w:spacing w:line="288" w:lineRule="auto"/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</w:pPr>
            <w:r w:rsidRPr="004F713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The Brand Identity Manager holds responsibility for ensuring that all assets created under the LBS master brand </w:t>
            </w:r>
            <w:r w:rsidR="003913E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are compliant</w:t>
            </w:r>
            <w:r w:rsidRPr="004F713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and </w:t>
            </w:r>
            <w:r w:rsidR="003913E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of</w:t>
            </w:r>
            <w:r w:rsidRPr="004F713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high quality. </w:t>
            </w:r>
            <w:r w:rsidR="00005752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Engaging</w:t>
            </w:r>
            <w:r w:rsidR="0086304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directly with the lead creative agency</w:t>
            </w:r>
            <w:r w:rsidR="001507B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,</w:t>
            </w:r>
            <w:r w:rsidR="00005752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1507B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and department stakeholders, </w:t>
            </w:r>
            <w:r w:rsidR="00005752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to</w:t>
            </w:r>
            <w:r w:rsidR="0086304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DD06A0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inform, educate and advise on</w:t>
            </w:r>
            <w:r w:rsidR="001507B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the</w:t>
            </w:r>
            <w:r w:rsidR="00DD06A0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c</w:t>
            </w:r>
            <w:r w:rsidR="007C7146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reative </w:t>
            </w:r>
            <w:r w:rsidR="002F73F7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process</w:t>
            </w:r>
            <w:r w:rsidR="00C802E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.</w:t>
            </w:r>
            <w:r w:rsidR="0085354E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br/>
            </w:r>
          </w:p>
          <w:p w14:paraId="422872CA" w14:textId="066A8737" w:rsidR="00410DCC" w:rsidRDefault="008B2A19" w:rsidP="00B54602">
            <w:pPr>
              <w:widowControl/>
              <w:autoSpaceDE/>
              <w:autoSpaceDN/>
              <w:spacing w:after="240" w:line="288" w:lineRule="auto"/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This will include developing training &amp; induction </w:t>
            </w:r>
            <w:r w:rsidR="00D216E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manuals/programmes to educate</w:t>
            </w:r>
            <w:r w:rsidR="001711E4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D216E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and build the knowledge of our community </w:t>
            </w:r>
            <w:r w:rsidR="004803EA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about the LBS brand, including </w:t>
            </w:r>
            <w:r w:rsidR="008B0367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training on</w:t>
            </w:r>
            <w:r w:rsidR="001711E4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how to apply</w:t>
            </w:r>
            <w:r w:rsidR="008B0367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  <w:r w:rsidR="004803EA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Brand Guidel</w:t>
            </w:r>
            <w:r w:rsidR="0050555B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ines, processes for brand approval and regular monitoring and auditing of brand compliance</w:t>
            </w:r>
            <w:r w:rsidR="00B54602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.</w:t>
            </w:r>
          </w:p>
          <w:p w14:paraId="171F698D" w14:textId="0338AAB1" w:rsidR="00CF2A00" w:rsidRPr="00B54602" w:rsidRDefault="003734A5" w:rsidP="00B54602">
            <w:pPr>
              <w:widowControl/>
              <w:autoSpaceDE/>
              <w:autoSpaceDN/>
              <w:spacing w:after="240" w:line="288" w:lineRule="auto"/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Creating a new network of Brand Champions across the School will be required, mobilising and </w:t>
            </w:r>
            <w:r w:rsidR="00621A45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inspiring these colleagues to ‘be the voice of the brand’ </w:t>
            </w:r>
            <w:r w:rsidR="00555BCC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for their individual departments/teams.</w:t>
            </w:r>
            <w:r w:rsidR="003B20AD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Developing </w:t>
            </w:r>
            <w:r w:rsidR="0033250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a ‘community of practice’ and process for </w:t>
            </w:r>
            <w:r w:rsidR="000C29FE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>continuous improvement and awareness.</w:t>
            </w:r>
            <w:r w:rsidR="0033250F">
              <w:rPr>
                <w:rFonts w:eastAsia="Times New Roman" w:cs="Arial"/>
                <w:color w:val="001E61"/>
                <w:sz w:val="20"/>
                <w:szCs w:val="20"/>
                <w:lang w:val="en-GB" w:eastAsia="en-GB"/>
              </w:rPr>
              <w:t xml:space="preserve"> </w:t>
            </w:r>
          </w:p>
        </w:tc>
      </w:tr>
    </w:tbl>
    <w:p w14:paraId="2B4EB73E" w14:textId="77777777" w:rsidR="00410DCC" w:rsidRDefault="00410DCC">
      <w:pPr>
        <w:spacing w:line="282" w:lineRule="exact"/>
        <w:sectPr w:rsidR="00410DCC">
          <w:type w:val="continuous"/>
          <w:pgSz w:w="11910" w:h="16840"/>
          <w:pgMar w:top="440" w:right="1680" w:bottom="280" w:left="640" w:header="720" w:footer="720" w:gutter="0"/>
          <w:cols w:space="720"/>
        </w:sectPr>
      </w:pPr>
    </w:p>
    <w:p w14:paraId="70872AD8" w14:textId="3536D454" w:rsidR="00410DCC" w:rsidRDefault="00410DCC">
      <w:pPr>
        <w:pStyle w:val="BodyText"/>
        <w:spacing w:before="10"/>
        <w:rPr>
          <w:rFonts w:ascii="Times New Roman"/>
          <w:b/>
          <w:sz w:val="23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9"/>
      </w:tblGrid>
      <w:tr w:rsidR="00410DCC" w14:paraId="2D761DBD" w14:textId="77777777" w:rsidTr="00F14794">
        <w:trPr>
          <w:trHeight w:val="492"/>
        </w:trPr>
        <w:tc>
          <w:tcPr>
            <w:tcW w:w="8999" w:type="dxa"/>
            <w:shd w:val="clear" w:color="auto" w:fill="001E62"/>
          </w:tcPr>
          <w:p w14:paraId="0C838AF2" w14:textId="349D468B" w:rsidR="00410DCC" w:rsidRPr="004A4583" w:rsidRDefault="006804DA">
            <w:pPr>
              <w:pStyle w:val="TableParagraph"/>
              <w:spacing w:before="1"/>
              <w:rPr>
                <w:b/>
              </w:rPr>
            </w:pPr>
            <w:r w:rsidRPr="004A4583">
              <w:rPr>
                <w:b/>
                <w:color w:val="FFFFFF"/>
              </w:rPr>
              <w:t>Key</w:t>
            </w:r>
            <w:r w:rsidRPr="004A4583">
              <w:rPr>
                <w:b/>
                <w:color w:val="FFFFFF"/>
                <w:spacing w:val="-3"/>
              </w:rPr>
              <w:t xml:space="preserve"> </w:t>
            </w:r>
            <w:r w:rsidR="00AF605E">
              <w:rPr>
                <w:b/>
                <w:color w:val="FFFFFF"/>
                <w:spacing w:val="-3"/>
              </w:rPr>
              <w:t>a</w:t>
            </w:r>
            <w:r w:rsidRPr="004A4583">
              <w:rPr>
                <w:b/>
                <w:color w:val="FFFFFF"/>
              </w:rPr>
              <w:t>reas</w:t>
            </w:r>
            <w:r w:rsidRPr="004A4583">
              <w:rPr>
                <w:b/>
                <w:color w:val="FFFFFF"/>
                <w:spacing w:val="-4"/>
              </w:rPr>
              <w:t xml:space="preserve"> </w:t>
            </w:r>
            <w:r w:rsidRPr="004A4583">
              <w:rPr>
                <w:b/>
                <w:color w:val="FFFFFF"/>
              </w:rPr>
              <w:t>of</w:t>
            </w:r>
            <w:r w:rsidRPr="004A4583">
              <w:rPr>
                <w:b/>
                <w:color w:val="FFFFFF"/>
                <w:spacing w:val="-2"/>
              </w:rPr>
              <w:t xml:space="preserve"> </w:t>
            </w:r>
            <w:r w:rsidRPr="004A4583">
              <w:rPr>
                <w:b/>
                <w:color w:val="FFFFFF"/>
              </w:rPr>
              <w:t>accountability</w:t>
            </w:r>
            <w:r w:rsidRPr="004A4583">
              <w:rPr>
                <w:b/>
                <w:color w:val="FFFFFF"/>
                <w:spacing w:val="-3"/>
              </w:rPr>
              <w:t xml:space="preserve"> </w:t>
            </w:r>
            <w:r w:rsidRPr="004A4583">
              <w:rPr>
                <w:b/>
                <w:color w:val="FFFFFF"/>
              </w:rPr>
              <w:t>and</w:t>
            </w:r>
            <w:r w:rsidRPr="004A4583">
              <w:rPr>
                <w:b/>
                <w:color w:val="FFFFFF"/>
                <w:spacing w:val="-3"/>
              </w:rPr>
              <w:t xml:space="preserve"> </w:t>
            </w:r>
            <w:r w:rsidRPr="004A4583">
              <w:rPr>
                <w:b/>
                <w:color w:val="FFFFFF"/>
              </w:rPr>
              <w:t>Key</w:t>
            </w:r>
            <w:r w:rsidRPr="004A4583">
              <w:rPr>
                <w:b/>
                <w:color w:val="FFFFFF"/>
                <w:spacing w:val="-2"/>
              </w:rPr>
              <w:t xml:space="preserve"> </w:t>
            </w:r>
            <w:r w:rsidRPr="004A4583">
              <w:rPr>
                <w:b/>
                <w:color w:val="FFFFFF"/>
              </w:rPr>
              <w:t>Performance</w:t>
            </w:r>
            <w:r w:rsidRPr="004A4583">
              <w:rPr>
                <w:b/>
                <w:color w:val="FFFFFF"/>
                <w:spacing w:val="-4"/>
              </w:rPr>
              <w:t xml:space="preserve"> </w:t>
            </w:r>
            <w:r w:rsidRPr="004A4583">
              <w:rPr>
                <w:b/>
                <w:color w:val="FFFFFF"/>
              </w:rPr>
              <w:t>Indicators</w:t>
            </w:r>
            <w:r w:rsidRPr="004A4583">
              <w:rPr>
                <w:b/>
                <w:color w:val="FFFFFF"/>
                <w:spacing w:val="-3"/>
              </w:rPr>
              <w:t xml:space="preserve"> </w:t>
            </w:r>
            <w:r w:rsidRPr="004A4583">
              <w:rPr>
                <w:b/>
                <w:color w:val="FFFFFF"/>
              </w:rPr>
              <w:t>(KPIs)</w:t>
            </w:r>
          </w:p>
        </w:tc>
      </w:tr>
      <w:tr w:rsidR="00410DCC" w14:paraId="033751AF" w14:textId="77777777" w:rsidTr="00F14794">
        <w:trPr>
          <w:trHeight w:val="1124"/>
        </w:trPr>
        <w:tc>
          <w:tcPr>
            <w:tcW w:w="8999" w:type="dxa"/>
          </w:tcPr>
          <w:p w14:paraId="275F9B80" w14:textId="45B2EBDC" w:rsidR="00410DCC" w:rsidRDefault="006804DA" w:rsidP="00493C3D">
            <w:pPr>
              <w:pStyle w:val="TableParagraph"/>
              <w:spacing w:before="2"/>
              <w:rPr>
                <w:b/>
                <w:color w:val="001E62"/>
                <w:u w:val="single" w:color="001E62"/>
              </w:rPr>
            </w:pPr>
            <w:r>
              <w:rPr>
                <w:b/>
                <w:color w:val="001E62"/>
                <w:u w:val="single" w:color="001E62"/>
              </w:rPr>
              <w:t>Key</w:t>
            </w:r>
            <w:r>
              <w:rPr>
                <w:b/>
                <w:color w:val="001E62"/>
                <w:spacing w:val="-4"/>
                <w:u w:val="single" w:color="001E62"/>
              </w:rPr>
              <w:t xml:space="preserve"> </w:t>
            </w:r>
            <w:r>
              <w:rPr>
                <w:b/>
                <w:color w:val="001E62"/>
                <w:u w:val="single" w:color="001E62"/>
              </w:rPr>
              <w:t>areas</w:t>
            </w:r>
            <w:r>
              <w:rPr>
                <w:b/>
                <w:color w:val="001E62"/>
                <w:spacing w:val="-1"/>
                <w:u w:val="single" w:color="001E62"/>
              </w:rPr>
              <w:t xml:space="preserve"> </w:t>
            </w:r>
            <w:r>
              <w:rPr>
                <w:b/>
                <w:color w:val="001E62"/>
                <w:u w:val="single" w:color="001E62"/>
              </w:rPr>
              <w:t>of</w:t>
            </w:r>
            <w:r>
              <w:rPr>
                <w:b/>
                <w:color w:val="001E62"/>
                <w:spacing w:val="-2"/>
                <w:u w:val="single" w:color="001E62"/>
              </w:rPr>
              <w:t xml:space="preserve"> </w:t>
            </w:r>
            <w:r>
              <w:rPr>
                <w:b/>
                <w:color w:val="001E62"/>
                <w:u w:val="single" w:color="001E62"/>
              </w:rPr>
              <w:t>accountability:</w:t>
            </w:r>
          </w:p>
          <w:p w14:paraId="7C0F2BF6" w14:textId="6D1682C9" w:rsidR="00153335" w:rsidRDefault="00153335" w:rsidP="00493C3D">
            <w:pPr>
              <w:pStyle w:val="TableParagraph"/>
              <w:spacing w:before="2"/>
              <w:rPr>
                <w:b/>
                <w:color w:val="001E62"/>
                <w:u w:val="single" w:color="001E62"/>
              </w:rPr>
            </w:pPr>
          </w:p>
          <w:p w14:paraId="557E91EC" w14:textId="6861C141" w:rsidR="00F14794" w:rsidRDefault="00F14794" w:rsidP="00493C3D">
            <w:pPr>
              <w:pStyle w:val="TableParagraph"/>
              <w:spacing w:before="2"/>
              <w:rPr>
                <w:b/>
                <w:color w:val="001E62"/>
              </w:rPr>
            </w:pPr>
            <w:r>
              <w:rPr>
                <w:b/>
                <w:color w:val="001E62"/>
              </w:rPr>
              <w:t>Creative Agency &amp; Freelance Output</w:t>
            </w:r>
          </w:p>
          <w:p w14:paraId="17281D57" w14:textId="77777777" w:rsidR="00F14794" w:rsidRDefault="00F14794" w:rsidP="00493C3D">
            <w:pPr>
              <w:pStyle w:val="TableParagraph"/>
              <w:spacing w:before="2"/>
              <w:rPr>
                <w:b/>
                <w:color w:val="001E62"/>
              </w:rPr>
            </w:pPr>
          </w:p>
          <w:p w14:paraId="6EC377BD" w14:textId="28AD18C2" w:rsidR="00F14794" w:rsidRPr="00F14794" w:rsidRDefault="00F14794" w:rsidP="00A80648">
            <w:pPr>
              <w:pStyle w:val="TableParagraph"/>
              <w:numPr>
                <w:ilvl w:val="0"/>
                <w:numId w:val="19"/>
              </w:numPr>
              <w:spacing w:before="2"/>
              <w:rPr>
                <w:bCs/>
                <w:color w:val="001E62"/>
                <w:sz w:val="20"/>
                <w:szCs w:val="20"/>
              </w:rPr>
            </w:pPr>
            <w:r w:rsidRPr="00F14794">
              <w:rPr>
                <w:bCs/>
                <w:color w:val="001E62"/>
                <w:sz w:val="20"/>
                <w:szCs w:val="20"/>
              </w:rPr>
              <w:t>Oversee, guide and monitor the creative output from suppliers ensuring high-quality assets are on-brand and on-brief</w:t>
            </w:r>
          </w:p>
          <w:p w14:paraId="519EC678" w14:textId="374668D7" w:rsidR="00F14794" w:rsidRPr="00F14794" w:rsidRDefault="00F14794" w:rsidP="00A80648">
            <w:pPr>
              <w:pStyle w:val="TableParagraph"/>
              <w:numPr>
                <w:ilvl w:val="0"/>
                <w:numId w:val="19"/>
              </w:numPr>
              <w:spacing w:before="2"/>
              <w:rPr>
                <w:bCs/>
                <w:color w:val="001E62"/>
                <w:sz w:val="20"/>
                <w:szCs w:val="20"/>
              </w:rPr>
            </w:pPr>
            <w:r w:rsidRPr="00F14794">
              <w:rPr>
                <w:bCs/>
                <w:color w:val="001E62"/>
                <w:sz w:val="20"/>
                <w:szCs w:val="20"/>
              </w:rPr>
              <w:t>Support Content Operations Lead in evaluating performance, SLA’s and agency procurement activities.</w:t>
            </w:r>
          </w:p>
          <w:p w14:paraId="31070220" w14:textId="2330DFF1" w:rsidR="00F14794" w:rsidRPr="00F14794" w:rsidRDefault="00F14794" w:rsidP="00A80648">
            <w:pPr>
              <w:pStyle w:val="TableParagraph"/>
              <w:numPr>
                <w:ilvl w:val="0"/>
                <w:numId w:val="19"/>
              </w:numPr>
              <w:spacing w:before="2"/>
              <w:rPr>
                <w:bCs/>
                <w:color w:val="001E62"/>
                <w:sz w:val="20"/>
                <w:szCs w:val="20"/>
              </w:rPr>
            </w:pPr>
            <w:r w:rsidRPr="00F14794">
              <w:rPr>
                <w:bCs/>
                <w:color w:val="001E62"/>
                <w:sz w:val="20"/>
                <w:szCs w:val="20"/>
              </w:rPr>
              <w:t>Set-up and lead quarterly creative reviews with agency partners</w:t>
            </w:r>
            <w:r>
              <w:rPr>
                <w:bCs/>
                <w:color w:val="001E62"/>
                <w:sz w:val="20"/>
                <w:szCs w:val="20"/>
              </w:rPr>
              <w:t>.</w:t>
            </w:r>
          </w:p>
          <w:p w14:paraId="686AFCF6" w14:textId="77777777" w:rsidR="00F14794" w:rsidRDefault="00F14794" w:rsidP="00493C3D">
            <w:pPr>
              <w:pStyle w:val="TableParagraph"/>
              <w:spacing w:before="2"/>
              <w:rPr>
                <w:b/>
                <w:color w:val="001E62"/>
              </w:rPr>
            </w:pPr>
          </w:p>
          <w:p w14:paraId="13A45421" w14:textId="73B10072" w:rsidR="00153335" w:rsidRPr="00153335" w:rsidRDefault="00153335" w:rsidP="00493C3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01E62"/>
              </w:rPr>
              <w:t>Brand Guidelines Expertise</w:t>
            </w:r>
          </w:p>
          <w:p w14:paraId="5A080650" w14:textId="77777777" w:rsidR="00410DCC" w:rsidRDefault="00410DCC" w:rsidP="00493C3D">
            <w:pPr>
              <w:pStyle w:val="TableParagraph"/>
              <w:spacing w:before="6"/>
              <w:ind w:left="0"/>
              <w:rPr>
                <w:rFonts w:ascii="Times New Roman"/>
                <w:b/>
                <w:sz w:val="25"/>
              </w:rPr>
            </w:pPr>
          </w:p>
          <w:p w14:paraId="4439CAA1" w14:textId="563A5FAF" w:rsidR="00774D67" w:rsidRPr="003F5A22" w:rsidRDefault="008701FA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eastAsia="ja-JP"/>
              </w:rPr>
            </w:pPr>
            <w:r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Function</w:t>
            </w:r>
            <w:r w:rsidR="00774D67" w:rsidRPr="00774D67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 xml:space="preserve"> as the collective Brand Expert, fostering a team approach to ensuring the correct application of the London Business School brand.</w:t>
            </w:r>
          </w:p>
          <w:p w14:paraId="087DA1D2" w14:textId="77777777" w:rsidR="00152198" w:rsidRPr="00152198" w:rsidRDefault="00152198" w:rsidP="00EB577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eastAsia="ja-JP"/>
              </w:rPr>
            </w:pPr>
            <w:r w:rsidRPr="00152198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Collaboratively drive enhanced consistency and compliance of Brand Guidelines across all stakeholders.</w:t>
            </w:r>
          </w:p>
          <w:p w14:paraId="087FD2AE" w14:textId="71CADFD9" w:rsidR="001E6E9F" w:rsidRPr="00AC4DF6" w:rsidRDefault="00ED74FB" w:rsidP="00AC4DF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b/>
                <w:bCs/>
                <w:color w:val="1F497D" w:themeColor="text2"/>
                <w:lang w:eastAsia="ja-JP"/>
              </w:rPr>
            </w:pPr>
            <w:r w:rsidRPr="00ED74FB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Maintain up-to-date Brand Guidelines, reflecting any brand identity enhancements or evolution throug</w:t>
            </w:r>
            <w:r w:rsidR="00AC4DF6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h</w:t>
            </w:r>
            <w:r w:rsidRPr="00ED74FB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 xml:space="preserve"> collaborative efforts.</w:t>
            </w:r>
          </w:p>
          <w:p w14:paraId="08ADE6FC" w14:textId="39DA1C15" w:rsidR="00153335" w:rsidRPr="00ED74FB" w:rsidRDefault="00153335" w:rsidP="00ED74FB">
            <w:pPr>
              <w:widowControl/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b/>
                <w:bCs/>
                <w:color w:val="1F497D" w:themeColor="text2"/>
                <w:lang w:eastAsia="ja-JP"/>
              </w:rPr>
            </w:pPr>
            <w:r w:rsidRPr="00ED74FB">
              <w:rPr>
                <w:rFonts w:eastAsia="Arial" w:cs="Times New Roman"/>
                <w:color w:val="1F497D" w:themeColor="text2"/>
                <w:sz w:val="20"/>
                <w:lang w:eastAsia="ja-JP"/>
              </w:rPr>
              <w:t xml:space="preserve"> </w:t>
            </w:r>
            <w:r w:rsidRPr="00ED74FB">
              <w:rPr>
                <w:rFonts w:eastAsia="Arial" w:cs="Times New Roman"/>
                <w:b/>
                <w:bCs/>
                <w:color w:val="1F497D" w:themeColor="text2"/>
                <w:lang w:eastAsia="ja-JP"/>
              </w:rPr>
              <w:t>Brand Tools &amp; Platforms</w:t>
            </w:r>
          </w:p>
          <w:p w14:paraId="204F27C3" w14:textId="69D9B500" w:rsidR="00BF6B54" w:rsidRDefault="00BF6B54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</w:pPr>
            <w:r>
              <w:rPr>
                <w:rFonts w:eastAsia="Arial" w:cs="Times New Roman"/>
                <w:color w:val="1F497D" w:themeColor="text2"/>
                <w:sz w:val="20"/>
                <w:lang w:eastAsia="ja-JP"/>
              </w:rPr>
              <w:t xml:space="preserve">Continue </w:t>
            </w:r>
            <w:r w:rsidRPr="00BF6B5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to </w:t>
            </w:r>
            <w:r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lead, </w:t>
            </w:r>
            <w:proofErr w:type="gramStart"/>
            <w:r w:rsidRPr="00BF6B5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oversee</w:t>
            </w:r>
            <w:proofErr w:type="gramEnd"/>
            <w:r w:rsidRPr="00BF6B5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and refine the systems supporting brand governance, leveraging existing platforms like </w:t>
            </w:r>
            <w:proofErr w:type="spellStart"/>
            <w:r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BrandHub</w:t>
            </w:r>
            <w:proofErr w:type="spellEnd"/>
            <w:r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, Canva</w:t>
            </w:r>
            <w:r w:rsidRPr="00BF6B5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and Wrike</w:t>
            </w:r>
            <w:r w:rsidR="00477C0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(workflow management platform)</w:t>
            </w:r>
            <w:r w:rsidRPr="00BF6B54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for optimal delivery.</w:t>
            </w:r>
          </w:p>
          <w:p w14:paraId="7961EB37" w14:textId="77777777" w:rsidR="00E615E7" w:rsidRDefault="00E615E7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</w:pPr>
            <w:r w:rsidRPr="00E615E7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Collaborate with the Content Operations Lead to further refine and implement a Self-Serve Utility for on-brand assets, leveraging existing frameworks and processes.</w:t>
            </w:r>
          </w:p>
          <w:p w14:paraId="477022A3" w14:textId="1AE48644" w:rsidR="00743535" w:rsidRPr="00743535" w:rsidRDefault="00743535" w:rsidP="0074353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b/>
                <w:bCs/>
                <w:color w:val="1F497D" w:themeColor="text2"/>
                <w:lang w:val="en-GB" w:eastAsia="ja-JP"/>
              </w:rPr>
            </w:pPr>
            <w:r w:rsidRPr="007435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Expand and refine existing brand toolkits to support key initiatives across the school, building upon previous work in this area.</w:t>
            </w:r>
          </w:p>
          <w:p w14:paraId="2339A54F" w14:textId="33ED954B" w:rsidR="00153335" w:rsidRPr="00743535" w:rsidRDefault="00153335" w:rsidP="00743535">
            <w:pPr>
              <w:widowControl/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b/>
                <w:bCs/>
                <w:color w:val="1F497D" w:themeColor="text2"/>
                <w:lang w:val="en-GB" w:eastAsia="ja-JP"/>
              </w:rPr>
            </w:pPr>
            <w:r w:rsidRPr="00743535">
              <w:rPr>
                <w:rFonts w:eastAsia="Arial" w:cs="Times New Roman"/>
                <w:b/>
                <w:bCs/>
                <w:color w:val="1F497D" w:themeColor="text2"/>
                <w:lang w:val="en-GB" w:eastAsia="ja-JP"/>
              </w:rPr>
              <w:t>Brand Reviews &amp; Compliance</w:t>
            </w:r>
          </w:p>
          <w:p w14:paraId="0231AB6A" w14:textId="0ABD2BC0" w:rsidR="00493C3D" w:rsidRPr="00153335" w:rsidRDefault="00493C3D" w:rsidP="00153335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b/>
                <w:bCs/>
                <w:color w:val="1F497D" w:themeColor="text2"/>
                <w:sz w:val="20"/>
                <w:lang w:val="en-GB" w:eastAsia="ja-JP"/>
              </w:rPr>
            </w:pPr>
            <w:r w:rsidRPr="001533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Lead and respond </w:t>
            </w:r>
            <w:r w:rsidR="00BC0212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to</w:t>
            </w:r>
            <w:r w:rsidRPr="001533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all </w:t>
            </w:r>
            <w:r w:rsidR="005F6701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School-wide </w:t>
            </w:r>
            <w:r w:rsidRPr="001533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Brand </w:t>
            </w:r>
            <w:r w:rsidR="005F6701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Governance</w:t>
            </w:r>
            <w:r w:rsidRPr="001533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queries, relating to content creation and brand approvals</w:t>
            </w:r>
            <w:r w:rsidR="00153335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for all visual assets where required.</w:t>
            </w:r>
          </w:p>
          <w:p w14:paraId="4689AED7" w14:textId="288E0E02" w:rsidR="00493C3D" w:rsidRPr="00493C3D" w:rsidRDefault="00493C3D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Lead on all brand compliance checks for external partners who create advertising and marketing on our behalf, including agencies, freelancers and other learning partners </w:t>
            </w:r>
            <w:proofErr w:type="gramStart"/>
            <w:r w:rsidR="00BC0212" w:rsidRPr="00493C3D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e.g.</w:t>
            </w:r>
            <w:proofErr w:type="gramEnd"/>
            <w:r w:rsidRPr="00493C3D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Emeritus &amp; Pearson.</w:t>
            </w:r>
          </w:p>
          <w:p w14:paraId="6D0E02E0" w14:textId="1660FEE4" w:rsidR="00493C3D" w:rsidRDefault="00493C3D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Be responsible for the development and deployment of Brand Induction/Brand Refresher modules for internal and external </w:t>
            </w:r>
            <w:r w:rsidR="00BC0212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>colleagues</w:t>
            </w:r>
            <w:r w:rsidRPr="00493C3D"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  <w:t xml:space="preserve"> and partners.</w:t>
            </w:r>
          </w:p>
          <w:p w14:paraId="4A255DAA" w14:textId="0CE3BC26" w:rsidR="00493C3D" w:rsidRPr="00493C3D" w:rsidRDefault="004668DB" w:rsidP="00493C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1F497D" w:themeColor="text2"/>
                <w:sz w:val="20"/>
                <w:lang w:val="en-GB" w:eastAsia="ja-JP"/>
              </w:rPr>
            </w:pPr>
            <w:r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Alongside the Content Operations Lead and Traffic Manager, d</w:t>
            </w:r>
            <w:r w:rsidR="00493C3D" w:rsidRPr="00493C3D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evelop regular reports to monitor compliance trends, risks, and performance.</w:t>
            </w:r>
          </w:p>
          <w:p w14:paraId="799934D2" w14:textId="77777777" w:rsidR="00761031" w:rsidRPr="00761031" w:rsidRDefault="00493C3D" w:rsidP="00761031">
            <w:pPr>
              <w:pStyle w:val="ListParagraph"/>
              <w:numPr>
                <w:ilvl w:val="0"/>
                <w:numId w:val="11"/>
              </w:numPr>
              <w:tabs>
                <w:tab w:val="left" w:pos="966"/>
                <w:tab w:val="left" w:pos="967"/>
              </w:tabs>
              <w:spacing w:before="62"/>
              <w:rPr>
                <w:b/>
                <w:bCs/>
                <w:sz w:val="20"/>
              </w:rPr>
            </w:pPr>
            <w:r w:rsidRPr="00761031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Support</w:t>
            </w:r>
            <w:r w:rsidR="009321BA" w:rsidRPr="00761031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 xml:space="preserve"> in the production of </w:t>
            </w:r>
            <w:r w:rsidR="006F7D49" w:rsidRPr="00761031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 xml:space="preserve">various materials across the department to achieve the overall objectives of the Brand &amp; Marketing department. </w:t>
            </w:r>
            <w:r w:rsidR="00761031" w:rsidRPr="00761031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t>Review materials for adherence to brand, legal, and compliance guidelines, approve, and escalate high-</w:t>
            </w:r>
            <w:r w:rsidR="00761031" w:rsidRPr="00761031">
              <w:rPr>
                <w:rFonts w:eastAsia="Times New Roman" w:cs="Times New Roman"/>
                <w:color w:val="1F497D" w:themeColor="text2"/>
                <w:sz w:val="20"/>
                <w:szCs w:val="20"/>
                <w:lang w:val="en-GB" w:eastAsia="en-GB"/>
              </w:rPr>
              <w:lastRenderedPageBreak/>
              <w:t>risk reviews.</w:t>
            </w:r>
          </w:p>
          <w:p w14:paraId="6941DBEF" w14:textId="77777777" w:rsidR="00761031" w:rsidRPr="00F14794" w:rsidRDefault="00761031" w:rsidP="00F14794">
            <w:pPr>
              <w:tabs>
                <w:tab w:val="left" w:pos="966"/>
                <w:tab w:val="left" w:pos="967"/>
              </w:tabs>
              <w:spacing w:before="62"/>
              <w:rPr>
                <w:b/>
                <w:bCs/>
                <w:sz w:val="20"/>
              </w:rPr>
            </w:pPr>
          </w:p>
          <w:p w14:paraId="2A7AF5C4" w14:textId="0CCA1970" w:rsidR="00493C3D" w:rsidRPr="00761031" w:rsidRDefault="00493C3D" w:rsidP="00761031">
            <w:pPr>
              <w:tabs>
                <w:tab w:val="left" w:pos="966"/>
                <w:tab w:val="left" w:pos="967"/>
              </w:tabs>
              <w:spacing w:before="62"/>
              <w:rPr>
                <w:b/>
                <w:bCs/>
                <w:sz w:val="20"/>
              </w:rPr>
            </w:pPr>
            <w:r w:rsidRPr="00761031">
              <w:rPr>
                <w:b/>
                <w:bCs/>
                <w:color w:val="001E62"/>
              </w:rPr>
              <w:t>KPIs:</w:t>
            </w:r>
          </w:p>
          <w:p w14:paraId="4A3325D0" w14:textId="29B9C236" w:rsidR="00493C3D" w:rsidRPr="00493C3D" w:rsidRDefault="00493C3D" w:rsidP="00493C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 xml:space="preserve">Enhanced performance of our content and thought leadership content </w:t>
            </w:r>
            <w:r w:rsidR="00401C2A">
              <w:rPr>
                <w:rFonts w:eastAsia="Arial" w:cs="Times New Roman"/>
                <w:color w:val="001E62"/>
                <w:sz w:val="20"/>
                <w:lang w:val="en-GB" w:eastAsia="ja-JP"/>
              </w:rPr>
              <w:t>by</w:t>
            </w: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 xml:space="preserve"> telling the LBS story </w:t>
            </w:r>
            <w:r w:rsidR="00401C2A">
              <w:rPr>
                <w:rFonts w:eastAsia="Arial" w:cs="Times New Roman"/>
                <w:color w:val="001E62"/>
                <w:sz w:val="20"/>
                <w:lang w:val="en-GB" w:eastAsia="ja-JP"/>
              </w:rPr>
              <w:t>powerfully and consistently</w:t>
            </w: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 xml:space="preserve"> staying true to the DNA of our brand.</w:t>
            </w:r>
          </w:p>
          <w:p w14:paraId="273E6C96" w14:textId="3E217F72" w:rsidR="00493C3D" w:rsidRPr="00493C3D" w:rsidRDefault="00493C3D" w:rsidP="00493C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 xml:space="preserve">Elevation of our brand allowing LBS to maintain its </w:t>
            </w:r>
            <w:r w:rsidR="00401C2A">
              <w:rPr>
                <w:rFonts w:eastAsia="Arial" w:cs="Times New Roman"/>
                <w:color w:val="001E62"/>
                <w:sz w:val="20"/>
                <w:lang w:val="en-GB" w:eastAsia="ja-JP"/>
              </w:rPr>
              <w:t>world-leading</w:t>
            </w: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 xml:space="preserve"> position.</w:t>
            </w:r>
          </w:p>
          <w:p w14:paraId="20D89009" w14:textId="15845370" w:rsidR="00493C3D" w:rsidRPr="00493C3D" w:rsidRDefault="00493C3D" w:rsidP="00493C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>A connected and engaged community of staff driving brand advocacy with everyone acting as a Brand Ambassador supported by Brand Champions</w:t>
            </w:r>
            <w:r w:rsidR="00363F7F">
              <w:rPr>
                <w:rFonts w:eastAsia="Arial" w:cs="Times New Roman"/>
                <w:color w:val="001E62"/>
                <w:sz w:val="20"/>
                <w:lang w:val="en-GB" w:eastAsia="ja-JP"/>
              </w:rPr>
              <w:t>.</w:t>
            </w:r>
          </w:p>
          <w:p w14:paraId="57C7DAA7" w14:textId="77777777" w:rsidR="00493C3D" w:rsidRDefault="00493C3D" w:rsidP="00363F7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 w:rsidRPr="00493C3D">
              <w:rPr>
                <w:rFonts w:eastAsia="Arial" w:cs="Times New Roman"/>
                <w:color w:val="001E62"/>
                <w:sz w:val="20"/>
                <w:lang w:val="en-GB" w:eastAsia="ja-JP"/>
              </w:rPr>
              <w:t>Training and upskilling of staff and suppliers on our brand guidelines and tone of voice.</w:t>
            </w:r>
          </w:p>
          <w:p w14:paraId="0A3D57C4" w14:textId="77777777" w:rsidR="00363F7F" w:rsidRDefault="00363F7F" w:rsidP="00363F7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>
              <w:rPr>
                <w:rFonts w:eastAsia="Arial" w:cs="Times New Roman"/>
                <w:color w:val="001E62"/>
                <w:sz w:val="20"/>
                <w:lang w:val="en-GB" w:eastAsia="ja-JP"/>
              </w:rPr>
              <w:t>High performance in any future brand audits.</w:t>
            </w:r>
          </w:p>
          <w:p w14:paraId="3BA6A5E7" w14:textId="1D335204" w:rsidR="00363F7F" w:rsidRPr="00363F7F" w:rsidRDefault="00363F7F" w:rsidP="00363F7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40" w:line="288" w:lineRule="auto"/>
              <w:contextualSpacing/>
              <w:rPr>
                <w:rFonts w:eastAsia="Arial" w:cs="Times New Roman"/>
                <w:color w:val="001E62"/>
                <w:sz w:val="20"/>
                <w:lang w:val="en-GB" w:eastAsia="ja-JP"/>
              </w:rPr>
            </w:pPr>
            <w:r>
              <w:rPr>
                <w:rFonts w:eastAsia="Arial" w:cs="Times New Roman"/>
                <w:color w:val="001E62"/>
                <w:sz w:val="20"/>
                <w:lang w:val="en-GB" w:eastAsia="ja-JP"/>
              </w:rPr>
              <w:t>Reduction in ‘off-brand’ materials produced from within our community.</w:t>
            </w:r>
          </w:p>
        </w:tc>
      </w:tr>
    </w:tbl>
    <w:tbl>
      <w:tblPr>
        <w:tblStyle w:val="TableGrid"/>
        <w:tblpPr w:leftFromText="180" w:rightFromText="180" w:vertAnchor="text" w:horzAnchor="page" w:tblpX="1209" w:tblpY="168"/>
        <w:tblW w:w="0" w:type="auto"/>
        <w:tblLook w:val="04A0" w:firstRow="1" w:lastRow="0" w:firstColumn="1" w:lastColumn="0" w:noHBand="0" w:noVBand="1"/>
      </w:tblPr>
      <w:tblGrid>
        <w:gridCol w:w="9020"/>
      </w:tblGrid>
      <w:tr w:rsidR="00F14794" w14:paraId="3986CBA2" w14:textId="77777777" w:rsidTr="00F14794">
        <w:trPr>
          <w:trHeight w:val="416"/>
        </w:trPr>
        <w:tc>
          <w:tcPr>
            <w:tcW w:w="9020" w:type="dxa"/>
            <w:shd w:val="clear" w:color="auto" w:fill="001E62"/>
          </w:tcPr>
          <w:p w14:paraId="6DCF01D9" w14:textId="22A62389" w:rsidR="00F14794" w:rsidRPr="00F14794" w:rsidRDefault="00F14794" w:rsidP="00F14794">
            <w:pPr>
              <w:rPr>
                <w:rFonts w:ascii="Montserrat Medium" w:hAnsi="Montserrat Medium" w:cs="Arial"/>
                <w:b/>
                <w:color w:val="FFFFFF" w:themeColor="background1"/>
                <w:szCs w:val="20"/>
              </w:rPr>
            </w:pPr>
            <w:bookmarkStart w:id="0" w:name="_Hlk109969489"/>
            <w:r>
              <w:rPr>
                <w:rFonts w:ascii="Montserrat Medium" w:hAnsi="Montserrat Medium" w:cs="Arial"/>
                <w:b/>
                <w:color w:val="FFFFFF" w:themeColor="background1"/>
                <w:szCs w:val="20"/>
              </w:rPr>
              <w:lastRenderedPageBreak/>
              <w:t>Knowledge/Qualifications/Experience Required</w:t>
            </w:r>
          </w:p>
        </w:tc>
      </w:tr>
      <w:tr w:rsidR="009D4636" w14:paraId="56A347DF" w14:textId="77777777" w:rsidTr="00F14794">
        <w:trPr>
          <w:trHeight w:val="1086"/>
        </w:trPr>
        <w:tc>
          <w:tcPr>
            <w:tcW w:w="9020" w:type="dxa"/>
          </w:tcPr>
          <w:p w14:paraId="7DDC5C2B" w14:textId="55579254" w:rsidR="00C05944" w:rsidRPr="00C05944" w:rsidRDefault="00C05944" w:rsidP="00F14794">
            <w:pPr>
              <w:ind w:left="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</w:p>
          <w:p w14:paraId="09C8DE20" w14:textId="2454B96C" w:rsidR="00C05944" w:rsidRPr="00246E51" w:rsidRDefault="00C05944" w:rsidP="00F14794">
            <w:pPr>
              <w:pStyle w:val="ListParagraph"/>
              <w:numPr>
                <w:ilvl w:val="0"/>
                <w:numId w:val="18"/>
              </w:numP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46E5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Professional</w:t>
            </w:r>
            <w:r w:rsidR="00610F1B" w:rsidRPr="00246E5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r w:rsidR="00527E94" w:rsidRPr="00246E5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branding </w:t>
            </w:r>
            <w:r w:rsidR="00610F1B" w:rsidRPr="00246E5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and/or marketing </w:t>
            </w:r>
            <w:r w:rsidRPr="00246E5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qualification or equivalent experience. </w:t>
            </w:r>
          </w:p>
          <w:p w14:paraId="6476C54D" w14:textId="43B43D3D" w:rsidR="00DC7825" w:rsidRDefault="008104D9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</w: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Ex</w:t>
            </w:r>
            <w:r w:rsidR="00B65877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perience working with or producing different marketing assets</w:t>
            </w:r>
            <w:r w:rsidR="00402E8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.</w:t>
            </w:r>
          </w:p>
          <w:p w14:paraId="34F8A903" w14:textId="74E5DEAA" w:rsidR="00AD544E" w:rsidRDefault="00DC7825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</w: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A keen understanding and experience of using Brand Guidelines, branded </w:t>
            </w:r>
            <w:proofErr w:type="gramStart"/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assets</w:t>
            </w:r>
            <w:proofErr w:type="gramEnd"/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and </w:t>
            </w:r>
            <w:r w:rsidR="00402E8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toolkits</w:t>
            </w:r>
            <w:r w:rsidR="00AD544E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.</w:t>
            </w:r>
          </w:p>
          <w:p w14:paraId="464C5C2A" w14:textId="0D0F4B64" w:rsidR="008104D9" w:rsidRDefault="00AD544E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</w: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Knowledge of and experience using </w:t>
            </w:r>
            <w:r w:rsidR="0003568F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digital tools and platforms that support digital asset management a</w:t>
            </w:r>
            <w:r w:rsidR="00D940A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nd brand governance activities.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</w:p>
          <w:p w14:paraId="71F92B34" w14:textId="0F46377F" w:rsidR="00ED6683" w:rsidRPr="008104D9" w:rsidRDefault="00ED6683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</w: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Experience </w:t>
            </w:r>
            <w:r w:rsidR="004C1E4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or ability to create engaging training </w:t>
            </w:r>
            <w:proofErr w:type="spellStart"/>
            <w:r w:rsidR="004C1E41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programmes</w:t>
            </w:r>
            <w:proofErr w:type="spellEnd"/>
            <w:r w:rsidR="00FC53DB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for stakeholder learning</w:t>
            </w:r>
            <w:r w:rsidR="002A5A0B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.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</w:p>
          <w:p w14:paraId="79FE38E1" w14:textId="08859E15" w:rsidR="00C05944" w:rsidRPr="00C05944" w:rsidRDefault="00C05944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  <w:t>Excellent communication skills with the ability to engage a variety of</w:t>
            </w:r>
            <w:r w:rsidR="002A5A0B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audiences. </w:t>
            </w:r>
          </w:p>
          <w:p w14:paraId="729D05DA" w14:textId="54192219" w:rsidR="00C05944" w:rsidRPr="00C05944" w:rsidRDefault="00C05944" w:rsidP="00F14794">
            <w:pPr>
              <w:ind w:left="690" w:hanging="36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•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ab/>
              <w:t>Experience of managing contractors</w:t>
            </w:r>
            <w:r w:rsidR="00545496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, partners</w:t>
            </w:r>
            <w:r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and/or agencies</w:t>
            </w:r>
            <w:r w:rsidR="00F14794"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Excellent </w:t>
            </w:r>
            <w:proofErr w:type="spellStart"/>
            <w:r w:rsidR="00F14794"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organisational</w:t>
            </w:r>
            <w:proofErr w:type="spellEnd"/>
            <w:r w:rsidR="00F14794" w:rsidRPr="00C05944"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skills and the ability to manage multiple internal and external stakeholders.    </w:t>
            </w:r>
          </w:p>
          <w:p w14:paraId="4FE671A9" w14:textId="6FDA17B0" w:rsidR="009D4636" w:rsidRPr="00363F7F" w:rsidRDefault="009D4636" w:rsidP="00F14794">
            <w:pPr>
              <w:ind w:left="0"/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17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14794" w:rsidRPr="00B80D24" w14:paraId="10889365" w14:textId="77777777" w:rsidTr="00A80648">
        <w:trPr>
          <w:trHeight w:val="416"/>
        </w:trPr>
        <w:tc>
          <w:tcPr>
            <w:tcW w:w="8897" w:type="dxa"/>
            <w:shd w:val="clear" w:color="auto" w:fill="001E62"/>
          </w:tcPr>
          <w:bookmarkEnd w:id="0"/>
          <w:p w14:paraId="7C3B7871" w14:textId="77777777" w:rsidR="00F14794" w:rsidRPr="00F14794" w:rsidRDefault="00F14794" w:rsidP="00A80648">
            <w:pPr>
              <w:ind w:left="0"/>
              <w:rPr>
                <w:rFonts w:ascii="Montserrat SemiBold" w:hAnsi="Montserrat SemiBold" w:cs="Arial"/>
                <w:b/>
                <w:szCs w:val="20"/>
                <w:lang w:eastAsia="en-US"/>
              </w:rPr>
            </w:pPr>
            <w:r w:rsidRPr="00F14794"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F14794" w:rsidRPr="008F12C7" w14:paraId="63EA7BBE" w14:textId="77777777" w:rsidTr="00A80648">
        <w:trPr>
          <w:trHeight w:val="1086"/>
        </w:trPr>
        <w:tc>
          <w:tcPr>
            <w:tcW w:w="8897" w:type="dxa"/>
            <w:shd w:val="clear" w:color="auto" w:fill="auto"/>
          </w:tcPr>
          <w:p w14:paraId="628B4568" w14:textId="77777777" w:rsidR="00F14794" w:rsidRPr="002A6B37" w:rsidRDefault="00F14794" w:rsidP="00A80648">
            <w:pPr>
              <w:rPr>
                <w:rFonts w:cs="Arial"/>
                <w:b/>
                <w:szCs w:val="20"/>
                <w:lang w:eastAsia="en-US"/>
              </w:rPr>
            </w:pPr>
          </w:p>
          <w:p w14:paraId="5DA6D29B" w14:textId="4CBBDA76" w:rsidR="00F14794" w:rsidRPr="00F14794" w:rsidRDefault="00F14794" w:rsidP="00A80648">
            <w:pPr>
              <w:pStyle w:val="ListParagraph"/>
              <w:spacing w:after="200" w:line="276" w:lineRule="auto"/>
              <w:ind w:left="720" w:firstLine="0"/>
              <w:contextualSpacing/>
              <w:rPr>
                <w:rFonts w:ascii="HelveticaNeueLT Std" w:hAnsi="HelveticaNeueLT Std" w:cs="Arial"/>
                <w:b/>
                <w:color w:val="002060"/>
                <w:sz w:val="20"/>
                <w:szCs w:val="20"/>
                <w:lang w:eastAsia="en-US"/>
              </w:rPr>
            </w:pPr>
            <w:r w:rsidRPr="00F14794">
              <w:rPr>
                <w:color w:val="002060"/>
                <w:sz w:val="20"/>
                <w:szCs w:val="20"/>
                <w:lang w:eastAsia="en-US"/>
              </w:rPr>
              <w:t>This role reports to Content Operations Lead and has no direct reports to manage.</w:t>
            </w:r>
          </w:p>
        </w:tc>
      </w:tr>
    </w:tbl>
    <w:p w14:paraId="0C577EFD" w14:textId="77777777" w:rsidR="00F14794" w:rsidRDefault="00F14794">
      <w:pPr>
        <w:spacing w:line="274" w:lineRule="exact"/>
        <w:rPr>
          <w:sz w:val="20"/>
        </w:rPr>
      </w:pPr>
    </w:p>
    <w:p w14:paraId="3FA691F1" w14:textId="63B1D2FF" w:rsidR="009D4636" w:rsidRDefault="009D4636" w:rsidP="009D4636">
      <w:pPr>
        <w:tabs>
          <w:tab w:val="left" w:pos="940"/>
        </w:tabs>
        <w:rPr>
          <w:sz w:val="20"/>
        </w:rPr>
      </w:pPr>
      <w:r>
        <w:rPr>
          <w:sz w:val="20"/>
        </w:rPr>
        <w:tab/>
      </w:r>
    </w:p>
    <w:tbl>
      <w:tblPr>
        <w:tblStyle w:val="TableGrid"/>
        <w:tblpPr w:leftFromText="180" w:rightFromText="180" w:vertAnchor="text" w:horzAnchor="page" w:tblpX="1061" w:tblpY="5734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A80648" w14:paraId="0C459724" w14:textId="77777777" w:rsidTr="00A80648">
        <w:trPr>
          <w:trHeight w:val="482"/>
        </w:trPr>
        <w:tc>
          <w:tcPr>
            <w:tcW w:w="2263" w:type="dxa"/>
            <w:shd w:val="clear" w:color="auto" w:fill="001E62"/>
          </w:tcPr>
          <w:p w14:paraId="1994203F" w14:textId="77777777" w:rsidR="00A80648" w:rsidRPr="00F14794" w:rsidRDefault="00A80648" w:rsidP="00A80648">
            <w:pPr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</w:pPr>
            <w:r w:rsidRPr="00F14794"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62A5C363" w14:textId="77777777" w:rsidR="00A80648" w:rsidRPr="008F12C7" w:rsidRDefault="00A80648" w:rsidP="00A80648">
            <w:pPr>
              <w:rPr>
                <w:rFonts w:ascii="HelveticaNeueLT Std" w:hAnsi="HelveticaNeueLT Std" w:cs="Arial"/>
                <w:b/>
                <w:szCs w:val="20"/>
                <w:lang w:eastAsia="en-US"/>
              </w:rPr>
            </w:pPr>
          </w:p>
        </w:tc>
      </w:tr>
      <w:tr w:rsidR="00A80648" w14:paraId="77A019D3" w14:textId="77777777" w:rsidTr="00A80648">
        <w:trPr>
          <w:trHeight w:val="482"/>
        </w:trPr>
        <w:tc>
          <w:tcPr>
            <w:tcW w:w="2263" w:type="dxa"/>
            <w:shd w:val="clear" w:color="auto" w:fill="001E62"/>
          </w:tcPr>
          <w:p w14:paraId="64C40250" w14:textId="77777777" w:rsidR="00A80648" w:rsidRPr="00F14794" w:rsidRDefault="00A80648" w:rsidP="00A80648">
            <w:pPr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</w:pPr>
            <w:r w:rsidRPr="00F14794"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4E99A6C8" w14:textId="77777777" w:rsidR="00A80648" w:rsidRPr="001B1632" w:rsidRDefault="00A80648" w:rsidP="00A80648">
            <w:pPr>
              <w:rPr>
                <w:rFonts w:cs="Arial"/>
                <w:bCs/>
                <w:szCs w:val="20"/>
                <w:lang w:eastAsia="en-US"/>
              </w:rPr>
            </w:pPr>
          </w:p>
        </w:tc>
      </w:tr>
      <w:tr w:rsidR="00A80648" w14:paraId="5CD913E7" w14:textId="77777777" w:rsidTr="00A80648">
        <w:trPr>
          <w:trHeight w:val="482"/>
        </w:trPr>
        <w:tc>
          <w:tcPr>
            <w:tcW w:w="2263" w:type="dxa"/>
            <w:shd w:val="clear" w:color="auto" w:fill="001E62"/>
          </w:tcPr>
          <w:p w14:paraId="540BA551" w14:textId="77777777" w:rsidR="00A80648" w:rsidRPr="00F14794" w:rsidRDefault="00A80648" w:rsidP="00A80648">
            <w:pPr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</w:pPr>
            <w:r w:rsidRPr="00F14794">
              <w:rPr>
                <w:rFonts w:ascii="Montserrat SemiBold" w:hAnsi="Montserrat SemiBold" w:cs="Arial"/>
                <w:b/>
                <w:color w:val="FFFFFF" w:themeColor="background1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5DD20365" w14:textId="34D93DF0" w:rsidR="00A80648" w:rsidRPr="00363F7F" w:rsidRDefault="00A80648" w:rsidP="00A80648">
            <w:pPr>
              <w:ind w:left="0"/>
              <w:rPr>
                <w:rFonts w:cs="Arial"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>30</w:t>
            </w:r>
            <w:r w:rsidRPr="00A80648">
              <w:rPr>
                <w:rFonts w:cs="Arial"/>
                <w:bCs/>
                <w:color w:val="1F497D" w:themeColor="text2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cs="Arial"/>
                <w:bCs/>
                <w:color w:val="1F497D" w:themeColor="text2"/>
                <w:sz w:val="20"/>
                <w:szCs w:val="20"/>
                <w:lang w:eastAsia="en-US"/>
              </w:rPr>
              <w:t xml:space="preserve"> April, 2024</w:t>
            </w:r>
          </w:p>
        </w:tc>
      </w:tr>
    </w:tbl>
    <w:p w14:paraId="7C4553FA" w14:textId="48D8DB9B" w:rsidR="009D4636" w:rsidRPr="009D4636" w:rsidRDefault="009D4636" w:rsidP="009D4636">
      <w:pPr>
        <w:tabs>
          <w:tab w:val="left" w:pos="940"/>
        </w:tabs>
        <w:rPr>
          <w:sz w:val="20"/>
        </w:rPr>
        <w:sectPr w:rsidR="009D4636" w:rsidRPr="009D4636">
          <w:footerReference w:type="default" r:id="rId12"/>
          <w:pgSz w:w="11910" w:h="16840"/>
          <w:pgMar w:top="840" w:right="1680" w:bottom="1400" w:left="640" w:header="0" w:footer="1219" w:gutter="0"/>
          <w:pgNumType w:start="2"/>
          <w:cols w:space="720"/>
        </w:sectPr>
      </w:pPr>
    </w:p>
    <w:p w14:paraId="170EE3D7" w14:textId="6B6AB5BC" w:rsidR="006804DA" w:rsidRPr="00521BAD" w:rsidRDefault="006804DA" w:rsidP="00521BAD">
      <w:pPr>
        <w:pStyle w:val="BodyText"/>
        <w:spacing w:before="6"/>
        <w:rPr>
          <w:sz w:val="24"/>
        </w:rPr>
      </w:pPr>
    </w:p>
    <w:sectPr w:rsidR="006804DA" w:rsidRPr="00521BAD">
      <w:pgSz w:w="11910" w:h="16840"/>
      <w:pgMar w:top="1580" w:right="1680" w:bottom="1460" w:left="640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2ECC" w14:textId="77777777" w:rsidR="000D6B8B" w:rsidRDefault="000D6B8B">
      <w:r>
        <w:separator/>
      </w:r>
    </w:p>
  </w:endnote>
  <w:endnote w:type="continuationSeparator" w:id="0">
    <w:p w14:paraId="53338285" w14:textId="77777777" w:rsidR="000D6B8B" w:rsidRDefault="000D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35DF" w14:textId="55E2FD62" w:rsidR="00410DCC" w:rsidRDefault="00F1479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EC898D" wp14:editId="06145A90">
              <wp:simplePos x="0" y="0"/>
              <wp:positionH relativeFrom="page">
                <wp:posOffset>681990</wp:posOffset>
              </wp:positionH>
              <wp:positionV relativeFrom="page">
                <wp:posOffset>9752330</wp:posOffset>
              </wp:positionV>
              <wp:extent cx="147320" cy="1676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7F1BB" w14:textId="2268104A" w:rsidR="00410DCC" w:rsidRDefault="006804DA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01E6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550">
                            <w:rPr>
                              <w:rFonts w:ascii="Arial"/>
                              <w:noProof/>
                              <w:color w:val="001E6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C89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.7pt;margin-top:767.9pt;width:11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" filled="f" stroked="f">
              <v:textbox inset="0,0,0,0">
                <w:txbxContent>
                  <w:p w14:paraId="1A07F1BB" w14:textId="2268104A" w:rsidR="00410DCC" w:rsidRDefault="006804DA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01E6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550">
                      <w:rPr>
                        <w:rFonts w:ascii="Arial"/>
                        <w:noProof/>
                        <w:color w:val="001E6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934B" w14:textId="77777777" w:rsidR="000D6B8B" w:rsidRDefault="000D6B8B">
      <w:r>
        <w:separator/>
      </w:r>
    </w:p>
  </w:footnote>
  <w:footnote w:type="continuationSeparator" w:id="0">
    <w:p w14:paraId="09FE4D80" w14:textId="77777777" w:rsidR="000D6B8B" w:rsidRDefault="000D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CDD"/>
    <w:multiLevelType w:val="hybridMultilevel"/>
    <w:tmpl w:val="1C3C6AB2"/>
    <w:lvl w:ilvl="0" w:tplc="94C0F626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color w:val="001E62"/>
        <w:w w:val="100"/>
        <w:sz w:val="20"/>
        <w:szCs w:val="20"/>
      </w:rPr>
    </w:lvl>
    <w:lvl w:ilvl="1" w:tplc="B560DB74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79A2B250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4BF0AF24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957661D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BF62ADBC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8E6AF57C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165AC138">
      <w:numFmt w:val="bullet"/>
      <w:lvlText w:val="•"/>
      <w:lvlJc w:val="left"/>
      <w:pPr>
        <w:ind w:left="6995" w:hanging="360"/>
      </w:pPr>
      <w:rPr>
        <w:rFonts w:hint="default"/>
      </w:rPr>
    </w:lvl>
    <w:lvl w:ilvl="8" w:tplc="F9D60F7A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" w15:restartNumberingAfterBreak="0">
    <w:nsid w:val="06132DD2"/>
    <w:multiLevelType w:val="multilevel"/>
    <w:tmpl w:val="0A5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3716"/>
    <w:multiLevelType w:val="hybridMultilevel"/>
    <w:tmpl w:val="04CA38C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A1C65E3"/>
    <w:multiLevelType w:val="hybridMultilevel"/>
    <w:tmpl w:val="E342E52E"/>
    <w:lvl w:ilvl="0" w:tplc="BBB488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001E62"/>
        <w:w w:val="100"/>
        <w:sz w:val="20"/>
        <w:szCs w:val="20"/>
      </w:rPr>
    </w:lvl>
    <w:lvl w:ilvl="1" w:tplc="CE66CB70">
      <w:numFmt w:val="bullet"/>
      <w:lvlText w:val="•"/>
      <w:lvlJc w:val="left"/>
      <w:pPr>
        <w:ind w:left="1299" w:hanging="360"/>
      </w:pPr>
      <w:rPr>
        <w:rFonts w:hint="default"/>
      </w:rPr>
    </w:lvl>
    <w:lvl w:ilvl="2" w:tplc="38628D2C">
      <w:numFmt w:val="bullet"/>
      <w:lvlText w:val="•"/>
      <w:lvlJc w:val="left"/>
      <w:pPr>
        <w:ind w:left="2139" w:hanging="360"/>
      </w:pPr>
      <w:rPr>
        <w:rFonts w:hint="default"/>
      </w:rPr>
    </w:lvl>
    <w:lvl w:ilvl="3" w:tplc="4AB8E5C8">
      <w:numFmt w:val="bullet"/>
      <w:lvlText w:val="•"/>
      <w:lvlJc w:val="left"/>
      <w:pPr>
        <w:ind w:left="2979" w:hanging="360"/>
      </w:pPr>
      <w:rPr>
        <w:rFonts w:hint="default"/>
      </w:rPr>
    </w:lvl>
    <w:lvl w:ilvl="4" w:tplc="D0BE805E">
      <w:numFmt w:val="bullet"/>
      <w:lvlText w:val="•"/>
      <w:lvlJc w:val="left"/>
      <w:pPr>
        <w:ind w:left="3818" w:hanging="360"/>
      </w:pPr>
      <w:rPr>
        <w:rFonts w:hint="default"/>
      </w:rPr>
    </w:lvl>
    <w:lvl w:ilvl="5" w:tplc="001A4E24">
      <w:numFmt w:val="bullet"/>
      <w:lvlText w:val="•"/>
      <w:lvlJc w:val="left"/>
      <w:pPr>
        <w:ind w:left="4658" w:hanging="360"/>
      </w:pPr>
      <w:rPr>
        <w:rFonts w:hint="default"/>
      </w:rPr>
    </w:lvl>
    <w:lvl w:ilvl="6" w:tplc="247C1204"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6F767E20">
      <w:numFmt w:val="bullet"/>
      <w:lvlText w:val="•"/>
      <w:lvlJc w:val="left"/>
      <w:pPr>
        <w:ind w:left="6337" w:hanging="360"/>
      </w:pPr>
      <w:rPr>
        <w:rFonts w:hint="default"/>
      </w:rPr>
    </w:lvl>
    <w:lvl w:ilvl="8" w:tplc="FEDCE214">
      <w:numFmt w:val="bullet"/>
      <w:lvlText w:val="•"/>
      <w:lvlJc w:val="left"/>
      <w:pPr>
        <w:ind w:left="7177" w:hanging="360"/>
      </w:pPr>
      <w:rPr>
        <w:rFonts w:hint="default"/>
      </w:rPr>
    </w:lvl>
  </w:abstractNum>
  <w:abstractNum w:abstractNumId="4" w15:restartNumberingAfterBreak="0">
    <w:nsid w:val="1D7D7167"/>
    <w:multiLevelType w:val="hybridMultilevel"/>
    <w:tmpl w:val="A79813E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8EE708C"/>
    <w:multiLevelType w:val="hybridMultilevel"/>
    <w:tmpl w:val="E8BE4940"/>
    <w:lvl w:ilvl="0" w:tplc="713EC792">
      <w:numFmt w:val="bullet"/>
      <w:lvlText w:val=""/>
      <w:lvlJc w:val="left"/>
      <w:pPr>
        <w:ind w:left="467" w:hanging="360"/>
      </w:pPr>
      <w:rPr>
        <w:rFonts w:hint="default"/>
        <w:w w:val="100"/>
      </w:rPr>
    </w:lvl>
    <w:lvl w:ilvl="1" w:tplc="E6609E54">
      <w:numFmt w:val="bullet"/>
      <w:lvlText w:val="•"/>
      <w:lvlJc w:val="left"/>
      <w:pPr>
        <w:ind w:left="1302" w:hanging="360"/>
      </w:pPr>
      <w:rPr>
        <w:rFonts w:hint="default"/>
      </w:rPr>
    </w:lvl>
    <w:lvl w:ilvl="2" w:tplc="A43E8020"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C08687CA"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F9943894"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10026068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EC2617EC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FF5E4286"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6DB41020"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6" w15:restartNumberingAfterBreak="0">
    <w:nsid w:val="2CBD16D2"/>
    <w:multiLevelType w:val="hybridMultilevel"/>
    <w:tmpl w:val="46D4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2831"/>
    <w:multiLevelType w:val="hybridMultilevel"/>
    <w:tmpl w:val="31A6F33C"/>
    <w:lvl w:ilvl="0" w:tplc="08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4AC74DB"/>
    <w:multiLevelType w:val="hybridMultilevel"/>
    <w:tmpl w:val="9FF037A2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9" w15:restartNumberingAfterBreak="0">
    <w:nsid w:val="36464C33"/>
    <w:multiLevelType w:val="hybridMultilevel"/>
    <w:tmpl w:val="FDAE7E70"/>
    <w:lvl w:ilvl="0" w:tplc="353A3A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7080C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78E1D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5706FF7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CA8DC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C200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50B21B5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0EF2B3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AEC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0" w15:restartNumberingAfterBreak="0">
    <w:nsid w:val="3F247C61"/>
    <w:multiLevelType w:val="hybridMultilevel"/>
    <w:tmpl w:val="BF50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4A80"/>
    <w:multiLevelType w:val="hybridMultilevel"/>
    <w:tmpl w:val="A65CB7E6"/>
    <w:lvl w:ilvl="0" w:tplc="6B948C24">
      <w:numFmt w:val="bullet"/>
      <w:lvlText w:val="o"/>
      <w:lvlJc w:val="left"/>
      <w:pPr>
        <w:ind w:left="467" w:hanging="361"/>
      </w:pPr>
      <w:rPr>
        <w:rFonts w:ascii="Courier New" w:eastAsia="Courier New" w:hAnsi="Courier New" w:cs="Courier New" w:hint="default"/>
        <w:color w:val="001E62"/>
        <w:w w:val="100"/>
        <w:sz w:val="20"/>
        <w:szCs w:val="20"/>
      </w:rPr>
    </w:lvl>
    <w:lvl w:ilvl="1" w:tplc="ADECBB2E">
      <w:numFmt w:val="bullet"/>
      <w:lvlText w:val="•"/>
      <w:lvlJc w:val="left"/>
      <w:pPr>
        <w:ind w:left="1302" w:hanging="361"/>
      </w:pPr>
      <w:rPr>
        <w:rFonts w:hint="default"/>
      </w:rPr>
    </w:lvl>
    <w:lvl w:ilvl="2" w:tplc="640C93FA">
      <w:numFmt w:val="bullet"/>
      <w:lvlText w:val="•"/>
      <w:lvlJc w:val="left"/>
      <w:pPr>
        <w:ind w:left="2145" w:hanging="361"/>
      </w:pPr>
      <w:rPr>
        <w:rFonts w:hint="default"/>
      </w:rPr>
    </w:lvl>
    <w:lvl w:ilvl="3" w:tplc="68EECC1C">
      <w:numFmt w:val="bullet"/>
      <w:lvlText w:val="•"/>
      <w:lvlJc w:val="left"/>
      <w:pPr>
        <w:ind w:left="2988" w:hanging="361"/>
      </w:pPr>
      <w:rPr>
        <w:rFonts w:hint="default"/>
      </w:rPr>
    </w:lvl>
    <w:lvl w:ilvl="4" w:tplc="DB32AD08"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B010F474">
      <w:numFmt w:val="bullet"/>
      <w:lvlText w:val="•"/>
      <w:lvlJc w:val="left"/>
      <w:pPr>
        <w:ind w:left="4673" w:hanging="361"/>
      </w:pPr>
      <w:rPr>
        <w:rFonts w:hint="default"/>
      </w:rPr>
    </w:lvl>
    <w:lvl w:ilvl="6" w:tplc="A8CC437A">
      <w:numFmt w:val="bullet"/>
      <w:lvlText w:val="•"/>
      <w:lvlJc w:val="left"/>
      <w:pPr>
        <w:ind w:left="5516" w:hanging="361"/>
      </w:pPr>
      <w:rPr>
        <w:rFonts w:hint="default"/>
      </w:rPr>
    </w:lvl>
    <w:lvl w:ilvl="7" w:tplc="ED9AC1B4">
      <w:numFmt w:val="bullet"/>
      <w:lvlText w:val="•"/>
      <w:lvlJc w:val="left"/>
      <w:pPr>
        <w:ind w:left="6358" w:hanging="361"/>
      </w:pPr>
      <w:rPr>
        <w:rFonts w:hint="default"/>
      </w:rPr>
    </w:lvl>
    <w:lvl w:ilvl="8" w:tplc="CB4C9A04">
      <w:numFmt w:val="bullet"/>
      <w:lvlText w:val="•"/>
      <w:lvlJc w:val="left"/>
      <w:pPr>
        <w:ind w:left="7201" w:hanging="361"/>
      </w:pPr>
      <w:rPr>
        <w:rFonts w:hint="default"/>
      </w:rPr>
    </w:lvl>
  </w:abstractNum>
  <w:abstractNum w:abstractNumId="12" w15:restartNumberingAfterBreak="0">
    <w:nsid w:val="52D33CFE"/>
    <w:multiLevelType w:val="hybridMultilevel"/>
    <w:tmpl w:val="52B09CA6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672C57EB"/>
    <w:multiLevelType w:val="hybridMultilevel"/>
    <w:tmpl w:val="3A52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062A2"/>
    <w:multiLevelType w:val="hybridMultilevel"/>
    <w:tmpl w:val="CC66E726"/>
    <w:lvl w:ilvl="0" w:tplc="40624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2333E"/>
    <w:multiLevelType w:val="hybridMultilevel"/>
    <w:tmpl w:val="2BD6F87A"/>
    <w:lvl w:ilvl="0" w:tplc="08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6" w15:restartNumberingAfterBreak="0">
    <w:nsid w:val="6AA04D50"/>
    <w:multiLevelType w:val="hybridMultilevel"/>
    <w:tmpl w:val="7BFA8258"/>
    <w:lvl w:ilvl="0" w:tplc="853CC6DC">
      <w:numFmt w:val="bullet"/>
      <w:lvlText w:val="•"/>
      <w:lvlJc w:val="left"/>
      <w:pPr>
        <w:ind w:left="690" w:hanging="360"/>
      </w:pPr>
      <w:rPr>
        <w:rFonts w:ascii="Montserrat" w:eastAsia="Montserrat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75866CC5"/>
    <w:multiLevelType w:val="hybridMultilevel"/>
    <w:tmpl w:val="175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77D09"/>
    <w:multiLevelType w:val="hybridMultilevel"/>
    <w:tmpl w:val="1E864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72FC4"/>
    <w:multiLevelType w:val="hybridMultilevel"/>
    <w:tmpl w:val="4502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02270"/>
    <w:multiLevelType w:val="hybridMultilevel"/>
    <w:tmpl w:val="39142974"/>
    <w:lvl w:ilvl="0" w:tplc="FC90EC2E">
      <w:numFmt w:val="bullet"/>
      <w:lvlText w:val="-"/>
      <w:lvlJc w:val="left"/>
      <w:pPr>
        <w:ind w:left="720" w:hanging="360"/>
      </w:pPr>
      <w:rPr>
        <w:rFonts w:ascii="Montserrat" w:eastAsia="Montserrat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4893">
    <w:abstractNumId w:val="5"/>
  </w:num>
  <w:num w:numId="2" w16cid:durableId="1193155261">
    <w:abstractNumId w:val="0"/>
  </w:num>
  <w:num w:numId="3" w16cid:durableId="126314912">
    <w:abstractNumId w:val="3"/>
  </w:num>
  <w:num w:numId="4" w16cid:durableId="1972978397">
    <w:abstractNumId w:val="11"/>
  </w:num>
  <w:num w:numId="5" w16cid:durableId="1497260460">
    <w:abstractNumId w:val="19"/>
  </w:num>
  <w:num w:numId="6" w16cid:durableId="2023627280">
    <w:abstractNumId w:val="9"/>
  </w:num>
  <w:num w:numId="7" w16cid:durableId="253172115">
    <w:abstractNumId w:val="15"/>
  </w:num>
  <w:num w:numId="8" w16cid:durableId="1617179895">
    <w:abstractNumId w:val="12"/>
  </w:num>
  <w:num w:numId="9" w16cid:durableId="1773623074">
    <w:abstractNumId w:val="7"/>
  </w:num>
  <w:num w:numId="10" w16cid:durableId="1389645776">
    <w:abstractNumId w:val="1"/>
  </w:num>
  <w:num w:numId="11" w16cid:durableId="274556588">
    <w:abstractNumId w:val="6"/>
  </w:num>
  <w:num w:numId="12" w16cid:durableId="1054239738">
    <w:abstractNumId w:val="8"/>
  </w:num>
  <w:num w:numId="13" w16cid:durableId="1221138968">
    <w:abstractNumId w:val="10"/>
  </w:num>
  <w:num w:numId="14" w16cid:durableId="1818376273">
    <w:abstractNumId w:val="17"/>
  </w:num>
  <w:num w:numId="15" w16cid:durableId="963576929">
    <w:abstractNumId w:val="18"/>
  </w:num>
  <w:num w:numId="16" w16cid:durableId="1458136215">
    <w:abstractNumId w:val="20"/>
  </w:num>
  <w:num w:numId="17" w16cid:durableId="1366832668">
    <w:abstractNumId w:val="4"/>
  </w:num>
  <w:num w:numId="18" w16cid:durableId="2086340599">
    <w:abstractNumId w:val="16"/>
  </w:num>
  <w:num w:numId="19" w16cid:durableId="1109468308">
    <w:abstractNumId w:val="2"/>
  </w:num>
  <w:num w:numId="20" w16cid:durableId="1615667721">
    <w:abstractNumId w:val="14"/>
  </w:num>
  <w:num w:numId="21" w16cid:durableId="1766926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C"/>
    <w:rsid w:val="00000604"/>
    <w:rsid w:val="00005752"/>
    <w:rsid w:val="000060F2"/>
    <w:rsid w:val="00031435"/>
    <w:rsid w:val="0003568F"/>
    <w:rsid w:val="00041ED5"/>
    <w:rsid w:val="00062162"/>
    <w:rsid w:val="000750C1"/>
    <w:rsid w:val="000865B1"/>
    <w:rsid w:val="000A0BBA"/>
    <w:rsid w:val="000A1D96"/>
    <w:rsid w:val="000C093C"/>
    <w:rsid w:val="000C29FE"/>
    <w:rsid w:val="000D67EB"/>
    <w:rsid w:val="000D6B8B"/>
    <w:rsid w:val="000E0010"/>
    <w:rsid w:val="000E2219"/>
    <w:rsid w:val="000E27C6"/>
    <w:rsid w:val="000E55C6"/>
    <w:rsid w:val="000E72A0"/>
    <w:rsid w:val="001011B9"/>
    <w:rsid w:val="00110CD8"/>
    <w:rsid w:val="0011172E"/>
    <w:rsid w:val="001200C9"/>
    <w:rsid w:val="00121275"/>
    <w:rsid w:val="00131FCE"/>
    <w:rsid w:val="0014038D"/>
    <w:rsid w:val="001507BB"/>
    <w:rsid w:val="00152198"/>
    <w:rsid w:val="00153335"/>
    <w:rsid w:val="00161D14"/>
    <w:rsid w:val="001648E2"/>
    <w:rsid w:val="001711E4"/>
    <w:rsid w:val="0018204D"/>
    <w:rsid w:val="001B1632"/>
    <w:rsid w:val="001C62C0"/>
    <w:rsid w:val="001E6E9F"/>
    <w:rsid w:val="001F1422"/>
    <w:rsid w:val="0024626D"/>
    <w:rsid w:val="00246E51"/>
    <w:rsid w:val="0025745B"/>
    <w:rsid w:val="00280443"/>
    <w:rsid w:val="0029162F"/>
    <w:rsid w:val="002A5A0B"/>
    <w:rsid w:val="002B18EB"/>
    <w:rsid w:val="002C0D6D"/>
    <w:rsid w:val="002C7619"/>
    <w:rsid w:val="002F3642"/>
    <w:rsid w:val="002F73F7"/>
    <w:rsid w:val="00305247"/>
    <w:rsid w:val="003105BC"/>
    <w:rsid w:val="00325423"/>
    <w:rsid w:val="0033250F"/>
    <w:rsid w:val="0033764C"/>
    <w:rsid w:val="00345EE2"/>
    <w:rsid w:val="00357AB2"/>
    <w:rsid w:val="00363F7F"/>
    <w:rsid w:val="00372A0E"/>
    <w:rsid w:val="003734A5"/>
    <w:rsid w:val="00374411"/>
    <w:rsid w:val="003748EE"/>
    <w:rsid w:val="00385598"/>
    <w:rsid w:val="003913EF"/>
    <w:rsid w:val="003B20AD"/>
    <w:rsid w:val="003D4327"/>
    <w:rsid w:val="003D473A"/>
    <w:rsid w:val="003E0E82"/>
    <w:rsid w:val="003E1538"/>
    <w:rsid w:val="003E5926"/>
    <w:rsid w:val="003F5A22"/>
    <w:rsid w:val="00401C2A"/>
    <w:rsid w:val="00402E84"/>
    <w:rsid w:val="0041089F"/>
    <w:rsid w:val="00410DCC"/>
    <w:rsid w:val="00417DCD"/>
    <w:rsid w:val="004214A4"/>
    <w:rsid w:val="00434462"/>
    <w:rsid w:val="004545B9"/>
    <w:rsid w:val="00457548"/>
    <w:rsid w:val="00462572"/>
    <w:rsid w:val="004668DB"/>
    <w:rsid w:val="00474F5B"/>
    <w:rsid w:val="00477C04"/>
    <w:rsid w:val="004803EA"/>
    <w:rsid w:val="0048552D"/>
    <w:rsid w:val="00486C6D"/>
    <w:rsid w:val="00490DC7"/>
    <w:rsid w:val="00493C3D"/>
    <w:rsid w:val="004A4583"/>
    <w:rsid w:val="004C1E41"/>
    <w:rsid w:val="004C7550"/>
    <w:rsid w:val="004D301A"/>
    <w:rsid w:val="004E2770"/>
    <w:rsid w:val="004F47EB"/>
    <w:rsid w:val="004F7136"/>
    <w:rsid w:val="004F7F30"/>
    <w:rsid w:val="00501A01"/>
    <w:rsid w:val="0050555B"/>
    <w:rsid w:val="00516214"/>
    <w:rsid w:val="0051681E"/>
    <w:rsid w:val="00521BAD"/>
    <w:rsid w:val="005277B4"/>
    <w:rsid w:val="00527E94"/>
    <w:rsid w:val="00527F32"/>
    <w:rsid w:val="00545496"/>
    <w:rsid w:val="00547558"/>
    <w:rsid w:val="0055018B"/>
    <w:rsid w:val="00555BCC"/>
    <w:rsid w:val="0059240B"/>
    <w:rsid w:val="005958C8"/>
    <w:rsid w:val="005B6F0C"/>
    <w:rsid w:val="005C48CA"/>
    <w:rsid w:val="005E45E7"/>
    <w:rsid w:val="005F6701"/>
    <w:rsid w:val="00606EB8"/>
    <w:rsid w:val="00610F1B"/>
    <w:rsid w:val="00613247"/>
    <w:rsid w:val="00621A45"/>
    <w:rsid w:val="00622BE3"/>
    <w:rsid w:val="00637786"/>
    <w:rsid w:val="00646ED4"/>
    <w:rsid w:val="00654E33"/>
    <w:rsid w:val="00670C28"/>
    <w:rsid w:val="006804DA"/>
    <w:rsid w:val="006869BA"/>
    <w:rsid w:val="006B128C"/>
    <w:rsid w:val="006B1E0A"/>
    <w:rsid w:val="006F5662"/>
    <w:rsid w:val="006F7D49"/>
    <w:rsid w:val="00710818"/>
    <w:rsid w:val="0073258B"/>
    <w:rsid w:val="00743535"/>
    <w:rsid w:val="00747BD3"/>
    <w:rsid w:val="007510FC"/>
    <w:rsid w:val="00754067"/>
    <w:rsid w:val="00760A24"/>
    <w:rsid w:val="00761031"/>
    <w:rsid w:val="00774D67"/>
    <w:rsid w:val="00780793"/>
    <w:rsid w:val="0078123F"/>
    <w:rsid w:val="00791D46"/>
    <w:rsid w:val="00792B69"/>
    <w:rsid w:val="0079726F"/>
    <w:rsid w:val="007B28F0"/>
    <w:rsid w:val="007C7146"/>
    <w:rsid w:val="007D5BB1"/>
    <w:rsid w:val="007D79B4"/>
    <w:rsid w:val="007F15F9"/>
    <w:rsid w:val="007F3460"/>
    <w:rsid w:val="007F34A0"/>
    <w:rsid w:val="007F3F7E"/>
    <w:rsid w:val="008103A7"/>
    <w:rsid w:val="008104D9"/>
    <w:rsid w:val="00817141"/>
    <w:rsid w:val="00830609"/>
    <w:rsid w:val="00840624"/>
    <w:rsid w:val="00843DB9"/>
    <w:rsid w:val="00846FA3"/>
    <w:rsid w:val="00847B3E"/>
    <w:rsid w:val="0085255F"/>
    <w:rsid w:val="00853326"/>
    <w:rsid w:val="0085354E"/>
    <w:rsid w:val="00863046"/>
    <w:rsid w:val="008701FA"/>
    <w:rsid w:val="008704A9"/>
    <w:rsid w:val="00881378"/>
    <w:rsid w:val="00882CDC"/>
    <w:rsid w:val="008878A2"/>
    <w:rsid w:val="008A2C98"/>
    <w:rsid w:val="008B0367"/>
    <w:rsid w:val="008B2A19"/>
    <w:rsid w:val="008B2B8B"/>
    <w:rsid w:val="008C3BE0"/>
    <w:rsid w:val="008C605F"/>
    <w:rsid w:val="008D7ABB"/>
    <w:rsid w:val="00916351"/>
    <w:rsid w:val="009321BA"/>
    <w:rsid w:val="00946676"/>
    <w:rsid w:val="00950865"/>
    <w:rsid w:val="0098429D"/>
    <w:rsid w:val="00986556"/>
    <w:rsid w:val="009A7631"/>
    <w:rsid w:val="009B518B"/>
    <w:rsid w:val="009C4A6E"/>
    <w:rsid w:val="009D4636"/>
    <w:rsid w:val="009E32FD"/>
    <w:rsid w:val="00A05CB0"/>
    <w:rsid w:val="00A1107D"/>
    <w:rsid w:val="00A1500A"/>
    <w:rsid w:val="00A2485F"/>
    <w:rsid w:val="00A26A64"/>
    <w:rsid w:val="00A27EE3"/>
    <w:rsid w:val="00A40048"/>
    <w:rsid w:val="00A4363A"/>
    <w:rsid w:val="00A61A41"/>
    <w:rsid w:val="00A64E4A"/>
    <w:rsid w:val="00A80648"/>
    <w:rsid w:val="00AC33DB"/>
    <w:rsid w:val="00AC4DF6"/>
    <w:rsid w:val="00AD544E"/>
    <w:rsid w:val="00AF1894"/>
    <w:rsid w:val="00AF26F5"/>
    <w:rsid w:val="00AF605E"/>
    <w:rsid w:val="00B11E67"/>
    <w:rsid w:val="00B14451"/>
    <w:rsid w:val="00B16899"/>
    <w:rsid w:val="00B32578"/>
    <w:rsid w:val="00B42CE1"/>
    <w:rsid w:val="00B47594"/>
    <w:rsid w:val="00B54602"/>
    <w:rsid w:val="00B63454"/>
    <w:rsid w:val="00B65877"/>
    <w:rsid w:val="00B76F37"/>
    <w:rsid w:val="00B8394C"/>
    <w:rsid w:val="00B851D5"/>
    <w:rsid w:val="00BA71E9"/>
    <w:rsid w:val="00BC0212"/>
    <w:rsid w:val="00BC07E5"/>
    <w:rsid w:val="00BF2864"/>
    <w:rsid w:val="00BF5DD0"/>
    <w:rsid w:val="00BF6B54"/>
    <w:rsid w:val="00C0147D"/>
    <w:rsid w:val="00C05944"/>
    <w:rsid w:val="00C11E78"/>
    <w:rsid w:val="00C2001A"/>
    <w:rsid w:val="00C802EF"/>
    <w:rsid w:val="00C80872"/>
    <w:rsid w:val="00C82D10"/>
    <w:rsid w:val="00C844EF"/>
    <w:rsid w:val="00C84C9B"/>
    <w:rsid w:val="00C90873"/>
    <w:rsid w:val="00C93B94"/>
    <w:rsid w:val="00C9571B"/>
    <w:rsid w:val="00CB6C4B"/>
    <w:rsid w:val="00CB77A8"/>
    <w:rsid w:val="00CC0DBE"/>
    <w:rsid w:val="00CD3911"/>
    <w:rsid w:val="00CE02E7"/>
    <w:rsid w:val="00CE4ABE"/>
    <w:rsid w:val="00CF2A00"/>
    <w:rsid w:val="00CF63A4"/>
    <w:rsid w:val="00CF656B"/>
    <w:rsid w:val="00D12689"/>
    <w:rsid w:val="00D216EB"/>
    <w:rsid w:val="00D271FF"/>
    <w:rsid w:val="00D27721"/>
    <w:rsid w:val="00D300FB"/>
    <w:rsid w:val="00D507C8"/>
    <w:rsid w:val="00D5774C"/>
    <w:rsid w:val="00D601B1"/>
    <w:rsid w:val="00D60235"/>
    <w:rsid w:val="00D634A5"/>
    <w:rsid w:val="00D72452"/>
    <w:rsid w:val="00D76056"/>
    <w:rsid w:val="00D77B39"/>
    <w:rsid w:val="00D940A4"/>
    <w:rsid w:val="00D94BBE"/>
    <w:rsid w:val="00D950BB"/>
    <w:rsid w:val="00DB529C"/>
    <w:rsid w:val="00DB6ECB"/>
    <w:rsid w:val="00DC018B"/>
    <w:rsid w:val="00DC0E34"/>
    <w:rsid w:val="00DC5820"/>
    <w:rsid w:val="00DC77DB"/>
    <w:rsid w:val="00DC7825"/>
    <w:rsid w:val="00DD06A0"/>
    <w:rsid w:val="00DE0A2A"/>
    <w:rsid w:val="00DE60BB"/>
    <w:rsid w:val="00E0688D"/>
    <w:rsid w:val="00E069E6"/>
    <w:rsid w:val="00E2047A"/>
    <w:rsid w:val="00E40AB5"/>
    <w:rsid w:val="00E46DA8"/>
    <w:rsid w:val="00E615E7"/>
    <w:rsid w:val="00E644CC"/>
    <w:rsid w:val="00E665A1"/>
    <w:rsid w:val="00EB5772"/>
    <w:rsid w:val="00ED0B3A"/>
    <w:rsid w:val="00ED6683"/>
    <w:rsid w:val="00ED74FB"/>
    <w:rsid w:val="00EE1C48"/>
    <w:rsid w:val="00EE7EAB"/>
    <w:rsid w:val="00EF4AB8"/>
    <w:rsid w:val="00F14794"/>
    <w:rsid w:val="00F3267B"/>
    <w:rsid w:val="00F51D4E"/>
    <w:rsid w:val="00F54569"/>
    <w:rsid w:val="00F6163F"/>
    <w:rsid w:val="00F72AAC"/>
    <w:rsid w:val="00FA0120"/>
    <w:rsid w:val="00FB36EA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6AB02"/>
  <w15:docId w15:val="{97ABFC36-0200-40E4-8210-FF5BB38F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4636"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1"/>
    <w:qFormat/>
    <w:pPr>
      <w:ind w:left="606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2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0"/>
      <w:ind w:left="3099" w:right="206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E5"/>
    <w:rPr>
      <w:rFonts w:ascii="Segoe UI" w:eastAsia="Montserrat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894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94"/>
    <w:rPr>
      <w:rFonts w:ascii="Montserrat" w:eastAsia="Montserrat" w:hAnsi="Montserrat" w:cs="Montserrat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E22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363F7F"/>
    <w:pPr>
      <w:widowControl/>
      <w:autoSpaceDE/>
      <w:autoSpaceDN/>
      <w:ind w:left="360"/>
    </w:pPr>
    <w:rPr>
      <w:color w:val="4F81BD" w:themeColor="accent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120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FA0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120"/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AF66CE48D89498B9A04BC27F5D0F1" ma:contentTypeVersion="16" ma:contentTypeDescription="Create a new document." ma:contentTypeScope="" ma:versionID="62533df91bf1fad103920feb3e85ead7">
  <xsd:schema xmlns:xsd="http://www.w3.org/2001/XMLSchema" xmlns:xs="http://www.w3.org/2001/XMLSchema" xmlns:p="http://schemas.microsoft.com/office/2006/metadata/properties" xmlns:ns1="http://schemas.microsoft.com/sharepoint/v3" xmlns:ns3="2843dff9-8244-4925-867a-cd1f793ab7fa" xmlns:ns4="ee11e351-595c-4656-9235-cc52d9477402" targetNamespace="http://schemas.microsoft.com/office/2006/metadata/properties" ma:root="true" ma:fieldsID="0a8b6a48bbe096d268021ee7fd190739" ns1:_="" ns3:_="" ns4:_="">
    <xsd:import namespace="http://schemas.microsoft.com/sharepoint/v3"/>
    <xsd:import namespace="2843dff9-8244-4925-867a-cd1f793ab7fa"/>
    <xsd:import namespace="ee11e351-595c-4656-9235-cc52d9477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3dff9-8244-4925-867a-cd1f793ab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e351-595c-4656-9235-cc52d9477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B6D79-7187-4961-AA59-221CAB4FD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E42D00-22E6-4251-99E0-AEAAEA17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43dff9-8244-4925-867a-cd1f793ab7fa"/>
    <ds:schemaRef ds:uri="ee11e351-595c-4656-9235-cc52d9477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6C851-F360-4F38-87B2-DB6FBCB61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880A1-34BA-46F3-B679-D5CF4F156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965</Words>
  <Characters>5506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2024-05-20T15:03:00Z</dcterms:created>
  <dcterms:modified xsi:type="dcterms:W3CDTF">2024-05-20T15:03:00Z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2021-03-29T00:00:00Z</vt:filetime>
  </property>
  <property fmtid="{D5CDD505-2E9C-101B-9397-08002B2CF9AE}" pid="5" name="ContentTypeId">
    <vt:lpwstr>0x010100AE9AF66CE48D89498B9A04BC27F5D0F1</vt:lpwstr>
  </property>
  <property fmtid="{D5CDD505-2E9C-101B-9397-08002B2CF9AE}" pid="6" name="GrammarlyDocumentId">
    <vt:lpwstr>1f75b5d506daab17f27d930d8a8478946b5aadfe231b01574c6985f50b963c40</vt:lpwstr>
  </property>
</Properties>
</file>