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580"/>
        <w:gridCol w:w="730"/>
        <w:gridCol w:w="3806"/>
      </w:tblGrid>
      <w:tr w:rsidR="004502CB" w:rsidRPr="008F12C7" w14:paraId="034BB121" w14:textId="77777777" w:rsidTr="006A232E">
        <w:tc>
          <w:tcPr>
            <w:tcW w:w="1668" w:type="dxa"/>
            <w:shd w:val="clear" w:color="auto" w:fill="001E62"/>
          </w:tcPr>
          <w:p w14:paraId="2A98FA39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7116" w:type="dxa"/>
            <w:gridSpan w:val="3"/>
          </w:tcPr>
          <w:p w14:paraId="49C41AF9" w14:textId="36C69920" w:rsidR="004502CB" w:rsidRPr="007C0739" w:rsidRDefault="006A232E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Delivery</w:t>
            </w:r>
            <w:r w:rsidR="0072272E" w:rsidRPr="0072272E">
              <w:rPr>
                <w:rFonts w:ascii="Montserrat" w:hAnsi="Montserrat" w:cs="Arial"/>
                <w:b/>
                <w:sz w:val="22"/>
                <w:lang w:eastAsia="en-US"/>
              </w:rPr>
              <w:t xml:space="preserve"> Manager</w:t>
            </w:r>
            <w:r w:rsidR="0072272E">
              <w:rPr>
                <w:rFonts w:ascii="GT Sectra Fine Bold Std" w:hAnsi="GT Sectra Fine Bold Std" w:cs="Arial"/>
                <w:b/>
                <w:sz w:val="22"/>
                <w:lang w:eastAsia="en-US"/>
              </w:rPr>
              <w:t xml:space="preserve"> </w:t>
            </w:r>
            <w:r w:rsidR="00BE1CFC">
              <w:rPr>
                <w:rFonts w:ascii="GT Sectra Fine Bold Std" w:hAnsi="GT Sectra Fine Bold Std" w:cs="Arial"/>
                <w:b/>
                <w:sz w:val="22"/>
                <w:lang w:eastAsia="en-US"/>
              </w:rPr>
              <w:t>(</w:t>
            </w:r>
            <w:r w:rsidR="00BE1CFC">
              <w:rPr>
                <w:rFonts w:ascii="Montserrat" w:hAnsi="Montserrat" w:cs="Arial"/>
                <w:b/>
                <w:sz w:val="22"/>
                <w:lang w:eastAsia="en-US"/>
              </w:rPr>
              <w:t>Lifelong Learning)</w:t>
            </w:r>
          </w:p>
        </w:tc>
      </w:tr>
      <w:tr w:rsidR="004502CB" w:rsidRPr="008F12C7" w14:paraId="7045D872" w14:textId="77777777" w:rsidTr="006A232E">
        <w:tc>
          <w:tcPr>
            <w:tcW w:w="1668" w:type="dxa"/>
            <w:shd w:val="clear" w:color="auto" w:fill="001E62"/>
          </w:tcPr>
          <w:p w14:paraId="09D6FD55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7116" w:type="dxa"/>
            <w:gridSpan w:val="3"/>
          </w:tcPr>
          <w:p w14:paraId="17C15E28" w14:textId="173DC472" w:rsidR="004502CB" w:rsidRPr="00C312E6" w:rsidRDefault="00C312E6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C312E6">
              <w:rPr>
                <w:rFonts w:ascii="Montserrat" w:hAnsi="Montserrat" w:cs="Arial"/>
                <w:b/>
                <w:sz w:val="22"/>
                <w:lang w:eastAsia="en-US"/>
              </w:rPr>
              <w:t>Deputy Director, Central Services</w:t>
            </w:r>
            <w:r w:rsidR="00C9466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r w:rsidR="00C94668" w:rsidRPr="005167C9">
              <w:rPr>
                <w:rFonts w:ascii="Montserrat" w:hAnsi="Montserrat" w:cs="Arial"/>
                <w:bCs/>
                <w:i/>
                <w:iCs/>
                <w:sz w:val="22"/>
                <w:lang w:eastAsia="en-US"/>
              </w:rPr>
              <w:t xml:space="preserve">(with dotted line to </w:t>
            </w:r>
            <w:r w:rsidR="005167C9" w:rsidRPr="005167C9">
              <w:rPr>
                <w:rFonts w:ascii="Montserrat" w:hAnsi="Montserrat" w:cs="Arial"/>
                <w:bCs/>
                <w:i/>
                <w:iCs/>
                <w:sz w:val="22"/>
                <w:lang w:eastAsia="en-US"/>
              </w:rPr>
              <w:t>Deputy Director - Alumni Engagement)</w:t>
            </w:r>
          </w:p>
        </w:tc>
      </w:tr>
      <w:tr w:rsidR="004502CB" w:rsidRPr="008F12C7" w14:paraId="0B1F77E0" w14:textId="77777777" w:rsidTr="006A232E">
        <w:trPr>
          <w:trHeight w:val="576"/>
        </w:trPr>
        <w:tc>
          <w:tcPr>
            <w:tcW w:w="1668" w:type="dxa"/>
            <w:shd w:val="clear" w:color="auto" w:fill="001E62"/>
          </w:tcPr>
          <w:p w14:paraId="428D79A6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7116" w:type="dxa"/>
            <w:gridSpan w:val="3"/>
          </w:tcPr>
          <w:p w14:paraId="4880AAA6" w14:textId="77777777" w:rsidR="004502CB" w:rsidRPr="007C0739" w:rsidRDefault="0072272E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72272E">
              <w:rPr>
                <w:rFonts w:ascii="Montserrat" w:hAnsi="Montserrat" w:cs="Arial"/>
                <w:b/>
                <w:sz w:val="22"/>
                <w:lang w:eastAsia="en-US"/>
              </w:rPr>
              <w:t>Central Services, D</w:t>
            </w:r>
            <w:r w:rsidR="007342C5">
              <w:rPr>
                <w:rFonts w:ascii="Montserrat" w:hAnsi="Montserrat" w:cs="Arial"/>
                <w:b/>
                <w:sz w:val="22"/>
                <w:lang w:eastAsia="en-US"/>
              </w:rPr>
              <w:t xml:space="preserve">egree </w:t>
            </w:r>
            <w:r w:rsidRPr="0072272E">
              <w:rPr>
                <w:rFonts w:ascii="Montserrat" w:hAnsi="Montserrat" w:cs="Arial"/>
                <w:b/>
                <w:sz w:val="22"/>
                <w:lang w:eastAsia="en-US"/>
              </w:rPr>
              <w:t>E</w:t>
            </w:r>
            <w:r w:rsidR="007342C5">
              <w:rPr>
                <w:rFonts w:ascii="Montserrat" w:hAnsi="Montserrat" w:cs="Arial"/>
                <w:b/>
                <w:sz w:val="22"/>
                <w:lang w:eastAsia="en-US"/>
              </w:rPr>
              <w:t xml:space="preserve">ducation and </w:t>
            </w:r>
            <w:r w:rsidRPr="0072272E">
              <w:rPr>
                <w:rFonts w:ascii="Montserrat" w:hAnsi="Montserrat" w:cs="Arial"/>
                <w:b/>
                <w:sz w:val="22"/>
                <w:lang w:eastAsia="en-US"/>
              </w:rPr>
              <w:t>C</w:t>
            </w:r>
            <w:r w:rsidR="007342C5">
              <w:rPr>
                <w:rFonts w:ascii="Montserrat" w:hAnsi="Montserrat" w:cs="Arial"/>
                <w:b/>
                <w:sz w:val="22"/>
                <w:lang w:eastAsia="en-US"/>
              </w:rPr>
              <w:t xml:space="preserve">areer </w:t>
            </w:r>
            <w:r w:rsidRPr="0072272E">
              <w:rPr>
                <w:rFonts w:ascii="Montserrat" w:hAnsi="Montserrat" w:cs="Arial"/>
                <w:b/>
                <w:sz w:val="22"/>
                <w:lang w:eastAsia="en-US"/>
              </w:rPr>
              <w:t>C</w:t>
            </w:r>
            <w:r w:rsidR="007342C5">
              <w:rPr>
                <w:rFonts w:ascii="Montserrat" w:hAnsi="Montserrat" w:cs="Arial"/>
                <w:b/>
                <w:sz w:val="22"/>
                <w:lang w:eastAsia="en-US"/>
              </w:rPr>
              <w:t>entre</w:t>
            </w:r>
          </w:p>
        </w:tc>
      </w:tr>
      <w:tr w:rsidR="004502CB" w:rsidRPr="008F12C7" w14:paraId="700E29BD" w14:textId="77777777" w:rsidTr="006A232E">
        <w:tc>
          <w:tcPr>
            <w:tcW w:w="1668" w:type="dxa"/>
            <w:shd w:val="clear" w:color="auto" w:fill="001E62"/>
          </w:tcPr>
          <w:p w14:paraId="5146907C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2580" w:type="dxa"/>
          </w:tcPr>
          <w:p w14:paraId="1B21C329" w14:textId="77777777" w:rsidR="004502CB" w:rsidRPr="00D01F88" w:rsidRDefault="00E61105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B</w:t>
            </w:r>
            <w:r w:rsidR="00525269">
              <w:rPr>
                <w:rFonts w:ascii="Montserrat" w:hAnsi="Montserrat" w:cs="Arial"/>
                <w:b/>
                <w:sz w:val="22"/>
                <w:lang w:eastAsia="en-US"/>
              </w:rPr>
              <w:t>usiness Services</w:t>
            </w:r>
            <w:r w:rsidR="00D01F88"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730" w:type="dxa"/>
            <w:shd w:val="clear" w:color="auto" w:fill="001E62"/>
          </w:tcPr>
          <w:p w14:paraId="7948B4C3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3806" w:type="dxa"/>
          </w:tcPr>
          <w:p w14:paraId="754B97DF" w14:textId="77777777" w:rsidR="004502CB" w:rsidRPr="00D01F88" w:rsidRDefault="004B4B46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3</w:t>
            </w:r>
          </w:p>
        </w:tc>
      </w:tr>
    </w:tbl>
    <w:p w14:paraId="6A642EDE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29A6CF63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2066FA8E" w14:textId="77777777" w:rsidR="004502CB" w:rsidRPr="007C0739" w:rsidRDefault="004502CB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357D3D33" w14:textId="77777777" w:rsidTr="009F0B63">
        <w:trPr>
          <w:trHeight w:val="1086"/>
        </w:trPr>
        <w:tc>
          <w:tcPr>
            <w:tcW w:w="8897" w:type="dxa"/>
          </w:tcPr>
          <w:p w14:paraId="7F6ECC79" w14:textId="77777777" w:rsidR="004502CB" w:rsidRPr="009D7EA3" w:rsidRDefault="0000778D" w:rsidP="009F0B63">
            <w:pPr>
              <w:rPr>
                <w:rFonts w:asciiTheme="minorHAnsi" w:hAnsiTheme="minorHAnsi" w:cstheme="minorHAnsi"/>
              </w:rPr>
            </w:pPr>
            <w:r w:rsidRPr="009D7EA3">
              <w:rPr>
                <w:rFonts w:asciiTheme="minorHAnsi" w:hAnsiTheme="minorHAnsi" w:cstheme="minorHAnsi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9D7EA3">
              <w:rPr>
                <w:rFonts w:asciiTheme="minorHAnsi" w:hAnsiTheme="minorHAnsi" w:cstheme="minorHAnsi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58A7310C" w14:textId="77777777" w:rsidR="004502CB" w:rsidRPr="009D7EA3" w:rsidRDefault="004502CB" w:rsidP="009F0B63">
            <w:pPr>
              <w:rPr>
                <w:rFonts w:asciiTheme="minorHAnsi" w:hAnsiTheme="minorHAnsi" w:cstheme="minorHAnsi"/>
              </w:rPr>
            </w:pPr>
            <w:r w:rsidRPr="009D7EA3">
              <w:rPr>
                <w:rFonts w:asciiTheme="minorHAnsi" w:hAnsiTheme="minorHAnsi" w:cstheme="minorHAnsi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9D7EA3">
              <w:rPr>
                <w:rFonts w:asciiTheme="minorHAnsi" w:hAnsiTheme="minorHAnsi" w:cstheme="minorHAnsi"/>
              </w:rPr>
              <w:t>customised</w:t>
            </w:r>
            <w:proofErr w:type="spellEnd"/>
            <w:r w:rsidRPr="009D7EA3">
              <w:rPr>
                <w:rFonts w:asciiTheme="minorHAnsi" w:hAnsiTheme="minorHAnsi" w:cstheme="minorHAnsi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21117333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9D7EA3">
              <w:rPr>
                <w:rFonts w:asciiTheme="minorHAnsi" w:hAnsiTheme="minorHAnsi" w:cstheme="minorHAnsi"/>
              </w:rPr>
              <w:t xml:space="preserve">With London in our hearts, we draw from its status as a financial, </w:t>
            </w:r>
            <w:proofErr w:type="gramStart"/>
            <w:r w:rsidRPr="009D7EA3">
              <w:rPr>
                <w:rFonts w:asciiTheme="minorHAnsi" w:hAnsiTheme="minorHAnsi" w:cstheme="minorHAnsi"/>
              </w:rPr>
              <w:t>entrepreneurial</w:t>
            </w:r>
            <w:proofErr w:type="gramEnd"/>
            <w:r w:rsidRPr="009D7EA3">
              <w:rPr>
                <w:rFonts w:asciiTheme="minorHAnsi" w:hAnsiTheme="minorHAnsi" w:cstheme="minorHAnsi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20A1A6EB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6CCCE055" w14:textId="77777777" w:rsidTr="720129FD">
        <w:trPr>
          <w:trHeight w:val="416"/>
        </w:trPr>
        <w:tc>
          <w:tcPr>
            <w:tcW w:w="8897" w:type="dxa"/>
            <w:shd w:val="clear" w:color="auto" w:fill="001E62"/>
          </w:tcPr>
          <w:p w14:paraId="748D5398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8F12C7" w14:paraId="5B580B1E" w14:textId="77777777" w:rsidTr="720129FD">
        <w:trPr>
          <w:trHeight w:val="1086"/>
        </w:trPr>
        <w:tc>
          <w:tcPr>
            <w:tcW w:w="8897" w:type="dxa"/>
          </w:tcPr>
          <w:p w14:paraId="0AC70F4C" w14:textId="20C4B0F4" w:rsidR="0072272E" w:rsidRPr="00EB2220" w:rsidRDefault="0072272E" w:rsidP="0072272E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B2220">
              <w:rPr>
                <w:rFonts w:asciiTheme="minorHAnsi" w:hAnsiTheme="minorHAnsi" w:cstheme="minorHAnsi"/>
                <w:b/>
                <w:szCs w:val="20"/>
                <w:lang w:eastAsia="en-US"/>
              </w:rPr>
              <w:t xml:space="preserve">Degree Education </w:t>
            </w:r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contributes to the </w:t>
            </w:r>
            <w:proofErr w:type="gramStart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>School</w:t>
            </w:r>
            <w:proofErr w:type="gramEnd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 vision by:</w:t>
            </w:r>
          </w:p>
          <w:p w14:paraId="11A2982D" w14:textId="77777777" w:rsidR="0072272E" w:rsidRPr="00EB2220" w:rsidRDefault="0072272E" w:rsidP="00977420">
            <w:pPr>
              <w:pStyle w:val="ListParagraph"/>
              <w:framePr w:wrap="around"/>
              <w:numPr>
                <w:ilvl w:val="0"/>
                <w:numId w:val="25"/>
              </w:numPr>
            </w:pPr>
            <w:r w:rsidRPr="00EB2220">
              <w:t xml:space="preserve">Attracting and selecting talent from around the World </w:t>
            </w:r>
          </w:p>
          <w:p w14:paraId="25B4A75A" w14:textId="0AE7D91D" w:rsidR="0072272E" w:rsidRPr="00EB2220" w:rsidRDefault="0072272E" w:rsidP="00977420">
            <w:pPr>
              <w:pStyle w:val="ListParagraph"/>
              <w:framePr w:wrap="around"/>
              <w:numPr>
                <w:ilvl w:val="0"/>
                <w:numId w:val="25"/>
              </w:numPr>
            </w:pPr>
            <w:r w:rsidRPr="00EB2220">
              <w:t>Creating a</w:t>
            </w:r>
            <w:r w:rsidR="004D3DC5" w:rsidRPr="00EB2220">
              <w:t xml:space="preserve"> world-class</w:t>
            </w:r>
            <w:r w:rsidRPr="00EB2220">
              <w:t xml:space="preserve"> environment in which students can learn </w:t>
            </w:r>
          </w:p>
          <w:p w14:paraId="1E84F998" w14:textId="77777777" w:rsidR="0072272E" w:rsidRPr="00EB2220" w:rsidRDefault="0072272E" w:rsidP="00977420">
            <w:pPr>
              <w:pStyle w:val="ListParagraph"/>
              <w:framePr w:wrap="around"/>
              <w:numPr>
                <w:ilvl w:val="0"/>
                <w:numId w:val="25"/>
              </w:numPr>
            </w:pPr>
            <w:proofErr w:type="spellStart"/>
            <w:r w:rsidRPr="00EB2220">
              <w:t>Maximising</w:t>
            </w:r>
            <w:proofErr w:type="spellEnd"/>
            <w:r w:rsidRPr="00EB2220">
              <w:t xml:space="preserve"> student and alumni career opportunities through developing their career skills and engaging with employers.</w:t>
            </w:r>
          </w:p>
          <w:p w14:paraId="27740E08" w14:textId="77777777" w:rsidR="0072272E" w:rsidRPr="00EB2220" w:rsidRDefault="0072272E" w:rsidP="0072272E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We aim to create an exceptional learning environment for a global, cross-generational community of intellectually curious, critical thinkers. </w:t>
            </w:r>
          </w:p>
          <w:p w14:paraId="2A4B15DC" w14:textId="3E12B994" w:rsidR="0072272E" w:rsidRPr="00E91AB1" w:rsidRDefault="0072272E" w:rsidP="0072272E">
            <w:pPr>
              <w:rPr>
                <w:rFonts w:ascii="Montserrat" w:hAnsi="Montserrat" w:cstheme="minorHAnsi"/>
                <w:szCs w:val="20"/>
                <w:lang w:eastAsia="en-US"/>
              </w:rPr>
            </w:pPr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>Degree Education (DE) is responsible for designing, promoting, recruiting for</w:t>
            </w:r>
            <w:r w:rsidR="004D3DC5" w:rsidRPr="00EB2220">
              <w:rPr>
                <w:rFonts w:asciiTheme="minorHAnsi" w:hAnsiTheme="minorHAnsi" w:cstheme="minorHAnsi"/>
                <w:szCs w:val="20"/>
                <w:lang w:eastAsia="en-US"/>
              </w:rPr>
              <w:t>,</w:t>
            </w:r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 and delivering London Business School’s portfolio of degree </w:t>
            </w:r>
            <w:proofErr w:type="spellStart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>programmes</w:t>
            </w:r>
            <w:proofErr w:type="spellEnd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. </w:t>
            </w:r>
            <w:proofErr w:type="spellStart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>Programmes</w:t>
            </w:r>
            <w:proofErr w:type="spellEnd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 include the MBA, a suite of Executive MBA </w:t>
            </w:r>
            <w:proofErr w:type="spellStart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>programmes</w:t>
            </w:r>
            <w:proofErr w:type="spellEnd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 (London-based, Dubai-based, EMBA-Global with Columbia Business School</w:t>
            </w:r>
            <w:r w:rsidR="00040C2F" w:rsidRPr="00EB2220">
              <w:rPr>
                <w:rFonts w:asciiTheme="minorHAnsi" w:hAnsiTheme="minorHAnsi" w:cstheme="minorHAnsi"/>
                <w:szCs w:val="20"/>
                <w:lang w:eastAsia="en-US"/>
              </w:rPr>
              <w:t>,</w:t>
            </w:r>
            <w:r w:rsidR="0014703C"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 </w:t>
            </w:r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the Sloan </w:t>
            </w:r>
            <w:proofErr w:type="gramStart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>Masters in Leadership</w:t>
            </w:r>
            <w:proofErr w:type="gramEnd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 and Strategy, the Masters in Finance (fulltime and part-time), the Masters in Management (</w:t>
            </w:r>
            <w:proofErr w:type="spellStart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>MiM</w:t>
            </w:r>
            <w:proofErr w:type="spellEnd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) and the Global </w:t>
            </w:r>
            <w:proofErr w:type="spellStart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>MiM</w:t>
            </w:r>
            <w:proofErr w:type="spellEnd"/>
            <w:r w:rsidRPr="00EB2220">
              <w:rPr>
                <w:rFonts w:asciiTheme="minorHAnsi" w:hAnsiTheme="minorHAnsi" w:cstheme="minorHAnsi"/>
                <w:szCs w:val="20"/>
                <w:lang w:eastAsia="en-US"/>
              </w:rPr>
              <w:t xml:space="preserve">, Masters in Analytics and </w:t>
            </w:r>
            <w:r w:rsidRPr="009D7EA3">
              <w:rPr>
                <w:rFonts w:asciiTheme="minorHAnsi" w:hAnsiTheme="minorHAnsi" w:cstheme="minorHAnsi"/>
                <w:szCs w:val="20"/>
                <w:lang w:eastAsia="en-US"/>
              </w:rPr>
              <w:t>Management (</w:t>
            </w:r>
            <w:proofErr w:type="spellStart"/>
            <w:r w:rsidRPr="009D7EA3">
              <w:rPr>
                <w:rFonts w:asciiTheme="minorHAnsi" w:hAnsiTheme="minorHAnsi" w:cstheme="minorHAnsi"/>
                <w:szCs w:val="20"/>
                <w:lang w:eastAsia="en-US"/>
              </w:rPr>
              <w:t>MaM</w:t>
            </w:r>
            <w:proofErr w:type="spellEnd"/>
            <w:r w:rsidRPr="009D7EA3">
              <w:rPr>
                <w:rFonts w:asciiTheme="minorHAnsi" w:hAnsiTheme="minorHAnsi" w:cstheme="minorHAnsi"/>
                <w:szCs w:val="20"/>
                <w:lang w:eastAsia="en-US"/>
              </w:rPr>
              <w:t xml:space="preserve">) and the Masters in Financial Analysis (MFA). The degree portfolio represents over 60% of the </w:t>
            </w:r>
            <w:proofErr w:type="gramStart"/>
            <w:r w:rsidRPr="009D7EA3">
              <w:rPr>
                <w:rFonts w:asciiTheme="minorHAnsi" w:hAnsiTheme="minorHAnsi" w:cstheme="minorHAnsi"/>
                <w:szCs w:val="20"/>
                <w:lang w:eastAsia="en-US"/>
              </w:rPr>
              <w:t>School’s</w:t>
            </w:r>
            <w:proofErr w:type="gramEnd"/>
            <w:r w:rsidRPr="009D7EA3">
              <w:rPr>
                <w:rFonts w:asciiTheme="minorHAnsi" w:hAnsiTheme="minorHAnsi" w:cstheme="minorHAnsi"/>
                <w:szCs w:val="20"/>
                <w:lang w:eastAsia="en-US"/>
              </w:rPr>
              <w:t xml:space="preserve"> revenue. </w:t>
            </w:r>
            <w:r w:rsidR="00BA02B6" w:rsidRPr="009D7EA3">
              <w:rPr>
                <w:rFonts w:asciiTheme="minorHAnsi" w:hAnsiTheme="minorHAnsi" w:cstheme="minorHAnsi"/>
                <w:szCs w:val="20"/>
                <w:lang w:eastAsia="en-US"/>
              </w:rPr>
              <w:t>Several</w:t>
            </w:r>
            <w:r w:rsidRPr="009D7EA3">
              <w:rPr>
                <w:rFonts w:asciiTheme="minorHAnsi" w:hAnsiTheme="minorHAnsi" w:cstheme="minorHAnsi"/>
                <w:szCs w:val="20"/>
                <w:lang w:eastAsia="en-US"/>
              </w:rPr>
              <w:t xml:space="preserve"> </w:t>
            </w:r>
            <w:proofErr w:type="spellStart"/>
            <w:r w:rsidRPr="009D7EA3">
              <w:rPr>
                <w:rFonts w:asciiTheme="minorHAnsi" w:hAnsiTheme="minorHAnsi" w:cstheme="minorHAnsi"/>
                <w:szCs w:val="20"/>
                <w:lang w:eastAsia="en-US"/>
              </w:rPr>
              <w:t>programmes</w:t>
            </w:r>
            <w:proofErr w:type="spellEnd"/>
            <w:r w:rsidRPr="009D7EA3">
              <w:rPr>
                <w:rFonts w:asciiTheme="minorHAnsi" w:hAnsiTheme="minorHAnsi" w:cstheme="minorHAnsi"/>
                <w:szCs w:val="20"/>
                <w:lang w:eastAsia="en-US"/>
              </w:rPr>
              <w:t xml:space="preserve"> are ranked in the top 10 by the Financial Times.</w:t>
            </w:r>
            <w:r w:rsidRPr="00E91AB1">
              <w:rPr>
                <w:rFonts w:ascii="Montserrat" w:hAnsi="Montserrat" w:cstheme="minorHAnsi"/>
                <w:szCs w:val="20"/>
                <w:lang w:eastAsia="en-US"/>
              </w:rPr>
              <w:t xml:space="preserve"> </w:t>
            </w:r>
          </w:p>
          <w:p w14:paraId="5460C13F" w14:textId="22390BB7" w:rsidR="00040C2F" w:rsidRPr="00701319" w:rsidRDefault="00040C2F" w:rsidP="00040C2F">
            <w:pPr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 w:rsidRPr="00701319">
              <w:rPr>
                <w:rFonts w:asciiTheme="minorHAnsi" w:hAnsiTheme="minorHAnsi" w:cstheme="minorHAnsi"/>
                <w:b/>
                <w:szCs w:val="20"/>
                <w:lang w:val="en-AU"/>
              </w:rPr>
              <w:t xml:space="preserve">Central Services </w:t>
            </w:r>
            <w:r w:rsidRPr="00701319">
              <w:rPr>
                <w:rFonts w:asciiTheme="minorHAnsi" w:hAnsiTheme="minorHAnsi" w:cstheme="minorHAnsi"/>
                <w:bCs/>
                <w:szCs w:val="20"/>
                <w:lang w:val="en-AU"/>
              </w:rPr>
              <w:t xml:space="preserve">sits within Central Teams in Degree Education, and are compliance, operations, transformation, </w:t>
            </w:r>
            <w:proofErr w:type="gramStart"/>
            <w:r w:rsidRPr="00701319">
              <w:rPr>
                <w:rFonts w:asciiTheme="minorHAnsi" w:hAnsiTheme="minorHAnsi" w:cstheme="minorHAnsi"/>
                <w:bCs/>
                <w:szCs w:val="20"/>
                <w:lang w:val="en-AU"/>
              </w:rPr>
              <w:t>system</w:t>
            </w:r>
            <w:proofErr w:type="gramEnd"/>
            <w:r w:rsidRPr="00701319">
              <w:rPr>
                <w:rFonts w:asciiTheme="minorHAnsi" w:hAnsiTheme="minorHAnsi" w:cstheme="minorHAnsi"/>
                <w:bCs/>
                <w:szCs w:val="20"/>
                <w:lang w:val="en-AU"/>
              </w:rPr>
              <w:t xml:space="preserve"> and data experts. Central Teams combine specialist </w:t>
            </w:r>
            <w:r w:rsidRPr="00701319">
              <w:rPr>
                <w:rFonts w:asciiTheme="minorHAnsi" w:hAnsiTheme="minorHAnsi" w:cstheme="minorHAnsi"/>
                <w:bCs/>
                <w:szCs w:val="20"/>
                <w:lang w:val="en-AU"/>
              </w:rPr>
              <w:lastRenderedPageBreak/>
              <w:t xml:space="preserve">knowledge, </w:t>
            </w:r>
            <w:proofErr w:type="gramStart"/>
            <w:r w:rsidRPr="00701319">
              <w:rPr>
                <w:rFonts w:asciiTheme="minorHAnsi" w:hAnsiTheme="minorHAnsi" w:cstheme="minorHAnsi"/>
                <w:bCs/>
                <w:szCs w:val="20"/>
                <w:lang w:val="en-AU"/>
              </w:rPr>
              <w:t>expertise</w:t>
            </w:r>
            <w:proofErr w:type="gramEnd"/>
            <w:r w:rsidRPr="00701319">
              <w:rPr>
                <w:rFonts w:asciiTheme="minorHAnsi" w:hAnsiTheme="minorHAnsi" w:cstheme="minorHAnsi"/>
                <w:bCs/>
                <w:szCs w:val="20"/>
                <w:lang w:val="en-AU"/>
              </w:rPr>
              <w:t xml:space="preserve"> and professional approach to deliver a high-quality teaching and learning experience for our students, faculty and staff. </w:t>
            </w:r>
          </w:p>
          <w:p w14:paraId="1EE27C55" w14:textId="77777777" w:rsidR="00040C2F" w:rsidRPr="009D7EA3" w:rsidRDefault="00040C2F" w:rsidP="00040C2F">
            <w:pPr>
              <w:rPr>
                <w:rFonts w:asciiTheme="minorHAnsi" w:hAnsiTheme="minorHAnsi" w:cstheme="minorHAnsi"/>
                <w:bCs/>
                <w:szCs w:val="20"/>
                <w:lang w:val="en-AU"/>
              </w:rPr>
            </w:pPr>
            <w:r w:rsidRPr="009D7EA3">
              <w:rPr>
                <w:rFonts w:asciiTheme="minorHAnsi" w:hAnsiTheme="minorHAnsi" w:cstheme="minorHAnsi"/>
                <w:bCs/>
                <w:szCs w:val="20"/>
                <w:lang w:val="en-AU"/>
              </w:rPr>
              <w:t xml:space="preserve">Innovation, </w:t>
            </w:r>
            <w:proofErr w:type="gramStart"/>
            <w:r w:rsidRPr="009D7EA3">
              <w:rPr>
                <w:rFonts w:asciiTheme="minorHAnsi" w:hAnsiTheme="minorHAnsi" w:cstheme="minorHAnsi"/>
                <w:bCs/>
                <w:szCs w:val="20"/>
                <w:lang w:val="en-AU"/>
              </w:rPr>
              <w:t>collaboration</w:t>
            </w:r>
            <w:proofErr w:type="gramEnd"/>
            <w:r w:rsidRPr="009D7EA3">
              <w:rPr>
                <w:rFonts w:asciiTheme="minorHAnsi" w:hAnsiTheme="minorHAnsi" w:cstheme="minorHAnsi"/>
                <w:bCs/>
                <w:szCs w:val="20"/>
                <w:lang w:val="en-AU"/>
              </w:rPr>
              <w:t xml:space="preserve"> and continuous improvement are at the heart of what we do - we identify and deliver opportunities for the future.</w:t>
            </w:r>
          </w:p>
          <w:p w14:paraId="71C898AD" w14:textId="77777777" w:rsidR="00040C2F" w:rsidRPr="009D7EA3" w:rsidRDefault="00040C2F" w:rsidP="00040C2F">
            <w:pPr>
              <w:rPr>
                <w:rFonts w:asciiTheme="minorHAnsi" w:hAnsiTheme="minorHAnsi" w:cstheme="minorHAnsi"/>
                <w:szCs w:val="20"/>
              </w:rPr>
            </w:pPr>
            <w:r w:rsidRPr="009D7EA3">
              <w:rPr>
                <w:rFonts w:asciiTheme="minorHAnsi" w:hAnsiTheme="minorHAnsi" w:cstheme="minorHAnsi"/>
                <w:bCs/>
                <w:szCs w:val="20"/>
              </w:rPr>
              <w:t>Central Services</w:t>
            </w:r>
            <w:r w:rsidRPr="009D7EA3">
              <w:rPr>
                <w:rFonts w:asciiTheme="minorHAnsi" w:hAnsiTheme="minorHAnsi" w:cstheme="minorHAnsi"/>
                <w:szCs w:val="20"/>
              </w:rPr>
              <w:t xml:space="preserve"> works across degree </w:t>
            </w:r>
            <w:proofErr w:type="spellStart"/>
            <w:r w:rsidRPr="009D7EA3">
              <w:rPr>
                <w:rFonts w:asciiTheme="minorHAnsi" w:hAnsiTheme="minorHAnsi" w:cstheme="minorHAnsi"/>
                <w:szCs w:val="20"/>
              </w:rPr>
              <w:t>programmes</w:t>
            </w:r>
            <w:proofErr w:type="spellEnd"/>
            <w:r w:rsidRPr="009D7EA3">
              <w:rPr>
                <w:rFonts w:asciiTheme="minorHAnsi" w:hAnsiTheme="minorHAnsi" w:cstheme="minorHAnsi"/>
                <w:szCs w:val="20"/>
              </w:rPr>
              <w:t xml:space="preserve"> supporting the department’s strategic planning, as well as the delivery of teaching and learning, and student services. It is constituted of the following teams:</w:t>
            </w:r>
          </w:p>
          <w:p w14:paraId="37960FD9" w14:textId="77777777" w:rsidR="00040C2F" w:rsidRPr="009D7EA3" w:rsidRDefault="00040C2F" w:rsidP="00977420">
            <w:pPr>
              <w:pStyle w:val="ListParagraph"/>
              <w:framePr w:wrap="around"/>
              <w:numPr>
                <w:ilvl w:val="0"/>
                <w:numId w:val="31"/>
              </w:numPr>
            </w:pPr>
            <w:r w:rsidRPr="009D7EA3">
              <w:t>Assessment</w:t>
            </w:r>
          </w:p>
          <w:p w14:paraId="12EAB9FF" w14:textId="77777777" w:rsidR="00040C2F" w:rsidRPr="009D7EA3" w:rsidRDefault="00040C2F" w:rsidP="00977420">
            <w:pPr>
              <w:pStyle w:val="ListParagraph"/>
              <w:framePr w:wrap="around"/>
              <w:numPr>
                <w:ilvl w:val="0"/>
                <w:numId w:val="31"/>
              </w:numPr>
            </w:pPr>
            <w:r w:rsidRPr="009D7EA3">
              <w:t>Operational Delivery</w:t>
            </w:r>
          </w:p>
          <w:p w14:paraId="51EE2E06" w14:textId="2FC54D19" w:rsidR="00040C2F" w:rsidRPr="009D7EA3" w:rsidRDefault="00040C2F" w:rsidP="00977420">
            <w:pPr>
              <w:pStyle w:val="ListParagraph"/>
              <w:framePr w:wrap="around"/>
              <w:numPr>
                <w:ilvl w:val="0"/>
                <w:numId w:val="31"/>
              </w:numPr>
            </w:pPr>
            <w:r w:rsidRPr="009D7EA3">
              <w:t>Student Wellbeing Services</w:t>
            </w:r>
          </w:p>
          <w:p w14:paraId="6E37522A" w14:textId="4F6254DF" w:rsidR="00B80D24" w:rsidRPr="00040C2F" w:rsidRDefault="00040C2F" w:rsidP="00040C2F">
            <w:pPr>
              <w:spacing w:after="0"/>
              <w:rPr>
                <w:rFonts w:ascii="Montserrat" w:hAnsi="Montserrat"/>
                <w:szCs w:val="20"/>
              </w:rPr>
            </w:pPr>
            <w:r w:rsidRPr="009D7EA3">
              <w:rPr>
                <w:rFonts w:asciiTheme="minorHAnsi" w:hAnsiTheme="minorHAnsi" w:cstheme="minorHAnsi"/>
                <w:szCs w:val="20"/>
              </w:rPr>
              <w:t xml:space="preserve">Central Services leads on these functional areas: teaching planning and modelling; scheduling and timetabling; elective portfolio planning and student elective enrolment; assessment, including the management of grades, exams, the internal moderation and external review processes, Boards of Examiners and degree certificates; course operations and delivery; data management, </w:t>
            </w:r>
            <w:proofErr w:type="spellStart"/>
            <w:r w:rsidRPr="009D7EA3">
              <w:rPr>
                <w:rFonts w:asciiTheme="minorHAnsi" w:hAnsiTheme="minorHAnsi" w:cstheme="minorHAnsi"/>
                <w:szCs w:val="20"/>
              </w:rPr>
              <w:t>visualisation</w:t>
            </w:r>
            <w:proofErr w:type="spellEnd"/>
            <w:r w:rsidRPr="009D7EA3">
              <w:rPr>
                <w:rFonts w:asciiTheme="minorHAnsi" w:hAnsiTheme="minorHAnsi" w:cstheme="minorHAnsi"/>
                <w:szCs w:val="20"/>
              </w:rPr>
              <w:t xml:space="preserve"> and insights for the department; and Student Wellbeing Services (disability support, safeguarding and counselling).</w:t>
            </w:r>
          </w:p>
        </w:tc>
      </w:tr>
    </w:tbl>
    <w:p w14:paraId="5BAF7376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4F0F04D0" w14:textId="77777777" w:rsidTr="720129FD">
        <w:trPr>
          <w:trHeight w:val="416"/>
        </w:trPr>
        <w:tc>
          <w:tcPr>
            <w:tcW w:w="8897" w:type="dxa"/>
            <w:shd w:val="clear" w:color="auto" w:fill="001E62"/>
          </w:tcPr>
          <w:p w14:paraId="74ED4F7B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29622166" w14:textId="77777777" w:rsidTr="720129FD">
        <w:trPr>
          <w:trHeight w:val="1086"/>
        </w:trPr>
        <w:tc>
          <w:tcPr>
            <w:tcW w:w="8897" w:type="dxa"/>
          </w:tcPr>
          <w:p w14:paraId="04592915" w14:textId="3BF1A705" w:rsidR="0014703C" w:rsidRPr="00701319" w:rsidRDefault="0072272E" w:rsidP="009F0B63">
            <w:pPr>
              <w:rPr>
                <w:rFonts w:asciiTheme="minorHAnsi" w:hAnsiTheme="minorHAnsi" w:cstheme="minorHAnsi"/>
              </w:rPr>
            </w:pPr>
            <w:r w:rsidRPr="00701319">
              <w:rPr>
                <w:rFonts w:asciiTheme="minorHAnsi" w:hAnsiTheme="minorHAnsi" w:cstheme="minorHAnsi"/>
              </w:rPr>
              <w:t xml:space="preserve">This position works within </w:t>
            </w:r>
            <w:r w:rsidR="004D3DC5" w:rsidRPr="00701319">
              <w:rPr>
                <w:rFonts w:asciiTheme="minorHAnsi" w:hAnsiTheme="minorHAnsi" w:cstheme="minorHAnsi"/>
              </w:rPr>
              <w:t xml:space="preserve">the </w:t>
            </w:r>
            <w:r w:rsidRPr="00701319">
              <w:rPr>
                <w:rFonts w:asciiTheme="minorHAnsi" w:hAnsiTheme="minorHAnsi" w:cstheme="minorHAnsi"/>
              </w:rPr>
              <w:t xml:space="preserve">Central Services </w:t>
            </w:r>
            <w:r w:rsidR="005F283F" w:rsidRPr="00701319">
              <w:rPr>
                <w:rFonts w:asciiTheme="minorHAnsi" w:hAnsiTheme="minorHAnsi" w:cstheme="minorHAnsi"/>
              </w:rPr>
              <w:t xml:space="preserve">and </w:t>
            </w:r>
            <w:r w:rsidR="00C312E6">
              <w:rPr>
                <w:rFonts w:asciiTheme="minorHAnsi" w:hAnsiTheme="minorHAnsi" w:cstheme="minorHAnsi"/>
              </w:rPr>
              <w:t xml:space="preserve">very closely with </w:t>
            </w:r>
            <w:r w:rsidR="005F283F" w:rsidRPr="00701319">
              <w:rPr>
                <w:rFonts w:asciiTheme="minorHAnsi" w:hAnsiTheme="minorHAnsi" w:cstheme="minorHAnsi"/>
              </w:rPr>
              <w:t xml:space="preserve">Advancement </w:t>
            </w:r>
            <w:r w:rsidRPr="00701319">
              <w:rPr>
                <w:rFonts w:asciiTheme="minorHAnsi" w:hAnsiTheme="minorHAnsi" w:cstheme="minorHAnsi"/>
              </w:rPr>
              <w:t xml:space="preserve">supporting </w:t>
            </w:r>
            <w:r w:rsidR="00C312E6">
              <w:rPr>
                <w:rFonts w:asciiTheme="minorHAnsi" w:hAnsiTheme="minorHAnsi" w:cstheme="minorHAnsi"/>
              </w:rPr>
              <w:t>School</w:t>
            </w:r>
            <w:r w:rsidR="640EEAB9" w:rsidRPr="00701319">
              <w:rPr>
                <w:rFonts w:asciiTheme="minorHAnsi" w:hAnsiTheme="minorHAnsi" w:cstheme="minorHAnsi"/>
              </w:rPr>
              <w:t>’</w:t>
            </w:r>
            <w:r w:rsidR="001E4552" w:rsidRPr="00701319">
              <w:rPr>
                <w:rFonts w:asciiTheme="minorHAnsi" w:hAnsiTheme="minorHAnsi" w:cstheme="minorHAnsi"/>
              </w:rPr>
              <w:t>s</w:t>
            </w:r>
            <w:r w:rsidR="00040C2F" w:rsidRPr="00701319">
              <w:rPr>
                <w:rFonts w:asciiTheme="minorHAnsi" w:hAnsiTheme="minorHAnsi" w:cstheme="minorHAnsi"/>
              </w:rPr>
              <w:t xml:space="preserve"> provision of lifelong learning opportunities for our </w:t>
            </w:r>
            <w:r w:rsidR="004D3DC5" w:rsidRPr="00701319">
              <w:rPr>
                <w:rFonts w:asciiTheme="minorHAnsi" w:hAnsiTheme="minorHAnsi" w:cstheme="minorHAnsi"/>
              </w:rPr>
              <w:t>global</w:t>
            </w:r>
            <w:r w:rsidR="00040C2F" w:rsidRPr="00701319">
              <w:rPr>
                <w:rFonts w:asciiTheme="minorHAnsi" w:hAnsiTheme="minorHAnsi" w:cstheme="minorHAnsi"/>
              </w:rPr>
              <w:t xml:space="preserve"> alumn</w:t>
            </w:r>
            <w:r w:rsidR="00D16978" w:rsidRPr="00701319">
              <w:rPr>
                <w:rFonts w:asciiTheme="minorHAnsi" w:hAnsiTheme="minorHAnsi" w:cstheme="minorHAnsi"/>
              </w:rPr>
              <w:t>i</w:t>
            </w:r>
            <w:r w:rsidR="00040C2F" w:rsidRPr="00701319">
              <w:rPr>
                <w:rFonts w:asciiTheme="minorHAnsi" w:hAnsiTheme="minorHAnsi" w:cstheme="minorHAnsi"/>
              </w:rPr>
              <w:t xml:space="preserve"> </w:t>
            </w:r>
            <w:r w:rsidR="00C312E6">
              <w:rPr>
                <w:rFonts w:asciiTheme="minorHAnsi" w:hAnsiTheme="minorHAnsi" w:cstheme="minorHAnsi"/>
              </w:rPr>
              <w:t>community</w:t>
            </w:r>
            <w:r w:rsidR="00040C2F" w:rsidRPr="00701319">
              <w:rPr>
                <w:rFonts w:asciiTheme="minorHAnsi" w:hAnsiTheme="minorHAnsi" w:cstheme="minorHAnsi"/>
              </w:rPr>
              <w:t xml:space="preserve">. </w:t>
            </w:r>
            <w:r w:rsidRPr="00701319">
              <w:rPr>
                <w:rFonts w:asciiTheme="minorHAnsi" w:hAnsiTheme="minorHAnsi" w:cstheme="minorHAnsi"/>
              </w:rPr>
              <w:t xml:space="preserve"> </w:t>
            </w:r>
            <w:r w:rsidR="001615F7" w:rsidRPr="00701319">
              <w:rPr>
                <w:rFonts w:asciiTheme="minorHAnsi" w:hAnsiTheme="minorHAnsi" w:cstheme="minorHAnsi"/>
              </w:rPr>
              <w:t xml:space="preserve">The post </w:t>
            </w:r>
            <w:r w:rsidR="005F283F" w:rsidRPr="00701319">
              <w:rPr>
                <w:rFonts w:asciiTheme="minorHAnsi" w:hAnsiTheme="minorHAnsi" w:cstheme="minorHAnsi"/>
              </w:rPr>
              <w:t xml:space="preserve">is responsible for </w:t>
            </w:r>
            <w:r w:rsidR="001E4552" w:rsidRPr="00701319">
              <w:rPr>
                <w:rFonts w:asciiTheme="minorHAnsi" w:hAnsiTheme="minorHAnsi" w:cstheme="minorHAnsi"/>
              </w:rPr>
              <w:t>managing</w:t>
            </w:r>
            <w:r w:rsidR="005F283F" w:rsidRPr="00701319">
              <w:rPr>
                <w:rFonts w:asciiTheme="minorHAnsi" w:hAnsiTheme="minorHAnsi" w:cstheme="minorHAnsi"/>
              </w:rPr>
              <w:t xml:space="preserve"> </w:t>
            </w:r>
            <w:r w:rsidR="00C312E6">
              <w:rPr>
                <w:rFonts w:asciiTheme="minorHAnsi" w:hAnsiTheme="minorHAnsi" w:cstheme="minorHAnsi"/>
              </w:rPr>
              <w:t xml:space="preserve">alumni </w:t>
            </w:r>
            <w:r w:rsidR="005F283F" w:rsidRPr="00701319">
              <w:rPr>
                <w:rFonts w:asciiTheme="minorHAnsi" w:hAnsiTheme="minorHAnsi" w:cstheme="minorHAnsi"/>
              </w:rPr>
              <w:t xml:space="preserve">access to a suite of elective course offerings. Working with colleagues in the </w:t>
            </w:r>
            <w:r w:rsidR="00FF1FFB" w:rsidRPr="00701319">
              <w:rPr>
                <w:rFonts w:asciiTheme="minorHAnsi" w:hAnsiTheme="minorHAnsi" w:cstheme="minorHAnsi"/>
              </w:rPr>
              <w:t>C</w:t>
            </w:r>
            <w:r w:rsidR="005F283F" w:rsidRPr="00701319">
              <w:rPr>
                <w:rFonts w:asciiTheme="minorHAnsi" w:hAnsiTheme="minorHAnsi" w:cstheme="minorHAnsi"/>
              </w:rPr>
              <w:t>entral Team</w:t>
            </w:r>
            <w:r w:rsidR="00E15303">
              <w:rPr>
                <w:rFonts w:asciiTheme="minorHAnsi" w:hAnsiTheme="minorHAnsi" w:cstheme="minorHAnsi"/>
              </w:rPr>
              <w:t xml:space="preserve"> </w:t>
            </w:r>
            <w:r w:rsidR="005F283F" w:rsidRPr="00701319">
              <w:rPr>
                <w:rFonts w:asciiTheme="minorHAnsi" w:hAnsiTheme="minorHAnsi" w:cstheme="minorHAnsi"/>
              </w:rPr>
              <w:t xml:space="preserve">and Advancement to coordinate </w:t>
            </w:r>
            <w:r w:rsidR="001E4552" w:rsidRPr="00701319">
              <w:rPr>
                <w:rFonts w:asciiTheme="minorHAnsi" w:hAnsiTheme="minorHAnsi" w:cstheme="minorHAnsi"/>
              </w:rPr>
              <w:t xml:space="preserve">a </w:t>
            </w:r>
            <w:r w:rsidR="00FF1FFB" w:rsidRPr="00701319">
              <w:rPr>
                <w:rFonts w:asciiTheme="minorHAnsi" w:hAnsiTheme="minorHAnsi" w:cstheme="minorHAnsi"/>
              </w:rPr>
              <w:t>coherent</w:t>
            </w:r>
            <w:r w:rsidR="005F283F" w:rsidRPr="00701319">
              <w:rPr>
                <w:rFonts w:asciiTheme="minorHAnsi" w:hAnsiTheme="minorHAnsi" w:cstheme="minorHAnsi"/>
              </w:rPr>
              <w:t xml:space="preserve"> </w:t>
            </w:r>
            <w:r w:rsidR="008C1B59">
              <w:rPr>
                <w:rFonts w:asciiTheme="minorHAnsi" w:hAnsiTheme="minorHAnsi" w:cstheme="minorHAnsi"/>
              </w:rPr>
              <w:t>F</w:t>
            </w:r>
            <w:r w:rsidR="00BA02B6">
              <w:rPr>
                <w:rFonts w:asciiTheme="minorHAnsi" w:hAnsiTheme="minorHAnsi" w:cstheme="minorHAnsi"/>
              </w:rPr>
              <w:t>orever</w:t>
            </w:r>
            <w:r w:rsidR="008C1B59">
              <w:rPr>
                <w:rFonts w:asciiTheme="minorHAnsi" w:hAnsiTheme="minorHAnsi" w:cstheme="minorHAnsi"/>
              </w:rPr>
              <w:t xml:space="preserve"> Forward Lifelong L</w:t>
            </w:r>
            <w:r w:rsidR="005F283F" w:rsidRPr="00701319">
              <w:rPr>
                <w:rFonts w:asciiTheme="minorHAnsi" w:hAnsiTheme="minorHAnsi" w:cstheme="minorHAnsi"/>
              </w:rPr>
              <w:t>earning offering</w:t>
            </w:r>
            <w:r w:rsidR="00BA02B6">
              <w:rPr>
                <w:rFonts w:asciiTheme="minorHAnsi" w:hAnsiTheme="minorHAnsi" w:cstheme="minorHAnsi"/>
              </w:rPr>
              <w:t xml:space="preserve">; take an active role in </w:t>
            </w:r>
            <w:r w:rsidR="008C1B59">
              <w:rPr>
                <w:rFonts w:asciiTheme="minorHAnsi" w:hAnsiTheme="minorHAnsi" w:cstheme="minorHAnsi"/>
              </w:rPr>
              <w:t>the</w:t>
            </w:r>
            <w:r w:rsidR="00BA02B6">
              <w:rPr>
                <w:rFonts w:asciiTheme="minorHAnsi" w:hAnsiTheme="minorHAnsi" w:cstheme="minorHAnsi"/>
              </w:rPr>
              <w:t xml:space="preserve"> </w:t>
            </w:r>
            <w:r w:rsidR="00041164">
              <w:rPr>
                <w:rFonts w:asciiTheme="minorHAnsi" w:hAnsiTheme="minorHAnsi" w:cstheme="minorHAnsi"/>
              </w:rPr>
              <w:t>visibility</w:t>
            </w:r>
            <w:r w:rsidR="00C312E6">
              <w:rPr>
                <w:rFonts w:asciiTheme="minorHAnsi" w:hAnsiTheme="minorHAnsi" w:cstheme="minorHAnsi"/>
              </w:rPr>
              <w:t xml:space="preserve"> </w:t>
            </w:r>
            <w:r w:rsidR="00BA02B6">
              <w:rPr>
                <w:rFonts w:asciiTheme="minorHAnsi" w:hAnsiTheme="minorHAnsi" w:cstheme="minorHAnsi"/>
              </w:rPr>
              <w:t xml:space="preserve">of the offering; </w:t>
            </w:r>
            <w:r w:rsidR="00B638A8">
              <w:rPr>
                <w:rFonts w:asciiTheme="minorHAnsi" w:hAnsiTheme="minorHAnsi" w:cstheme="minorHAnsi"/>
              </w:rPr>
              <w:t>engage with the alumni community</w:t>
            </w:r>
            <w:r w:rsidR="002C70BB">
              <w:rPr>
                <w:rFonts w:asciiTheme="minorHAnsi" w:hAnsiTheme="minorHAnsi" w:cstheme="minorHAnsi"/>
              </w:rPr>
              <w:t>;</w:t>
            </w:r>
            <w:r w:rsidR="00B638A8">
              <w:rPr>
                <w:rFonts w:asciiTheme="minorHAnsi" w:hAnsiTheme="minorHAnsi" w:cstheme="minorHAnsi"/>
              </w:rPr>
              <w:t xml:space="preserve"> </w:t>
            </w:r>
            <w:r w:rsidR="00BA02B6">
              <w:rPr>
                <w:rFonts w:asciiTheme="minorHAnsi" w:hAnsiTheme="minorHAnsi" w:cstheme="minorHAnsi"/>
              </w:rPr>
              <w:t>and ensur</w:t>
            </w:r>
            <w:r w:rsidR="00041164">
              <w:rPr>
                <w:rFonts w:asciiTheme="minorHAnsi" w:hAnsiTheme="minorHAnsi" w:cstheme="minorHAnsi"/>
              </w:rPr>
              <w:t>e</w:t>
            </w:r>
            <w:r w:rsidR="00BA02B6">
              <w:rPr>
                <w:rFonts w:asciiTheme="minorHAnsi" w:hAnsiTheme="minorHAnsi" w:cstheme="minorHAnsi"/>
              </w:rPr>
              <w:t xml:space="preserve"> </w:t>
            </w:r>
            <w:r w:rsidR="005F283F" w:rsidRPr="00701319">
              <w:rPr>
                <w:rFonts w:asciiTheme="minorHAnsi" w:hAnsiTheme="minorHAnsi" w:cstheme="minorHAnsi"/>
              </w:rPr>
              <w:t>appropriate management of access/enrolment and</w:t>
            </w:r>
            <w:r w:rsidR="002C70BB">
              <w:rPr>
                <w:rFonts w:asciiTheme="minorHAnsi" w:hAnsiTheme="minorHAnsi" w:cstheme="minorHAnsi"/>
              </w:rPr>
              <w:t xml:space="preserve"> the</w:t>
            </w:r>
            <w:r w:rsidR="005F283F" w:rsidRPr="00701319">
              <w:rPr>
                <w:rFonts w:asciiTheme="minorHAnsi" w:hAnsiTheme="minorHAnsi" w:cstheme="minorHAnsi"/>
              </w:rPr>
              <w:t xml:space="preserve"> tracking of completion</w:t>
            </w:r>
            <w:r w:rsidR="00BA02B6">
              <w:rPr>
                <w:rFonts w:asciiTheme="minorHAnsi" w:hAnsiTheme="minorHAnsi" w:cstheme="minorHAnsi"/>
              </w:rPr>
              <w:t xml:space="preserve"> is in place</w:t>
            </w:r>
            <w:r w:rsidR="005F283F" w:rsidRPr="00701319">
              <w:rPr>
                <w:rFonts w:asciiTheme="minorHAnsi" w:hAnsiTheme="minorHAnsi" w:cstheme="minorHAnsi"/>
              </w:rPr>
              <w:t xml:space="preserve">. </w:t>
            </w:r>
          </w:p>
          <w:p w14:paraId="1E5A62F7" w14:textId="3A9F8AE7" w:rsidR="0014703C" w:rsidRPr="00701319" w:rsidRDefault="008D1F82" w:rsidP="720129FD">
            <w:pPr>
              <w:rPr>
                <w:rFonts w:asciiTheme="minorHAnsi" w:hAnsiTheme="minorHAnsi" w:cstheme="minorHAnsi"/>
                <w:color w:val="001E61" w:themeColor="text1"/>
              </w:rPr>
            </w:pPr>
            <w:r w:rsidRPr="00701319">
              <w:rPr>
                <w:rFonts w:asciiTheme="minorHAnsi" w:hAnsiTheme="minorHAnsi" w:cstheme="minorHAnsi"/>
                <w:color w:val="001E61" w:themeColor="text1"/>
              </w:rPr>
              <w:t>Alongside operational resp</w:t>
            </w:r>
            <w:r w:rsidR="00ED4358" w:rsidRPr="00701319">
              <w:rPr>
                <w:rFonts w:asciiTheme="minorHAnsi" w:hAnsiTheme="minorHAnsi" w:cstheme="minorHAnsi"/>
                <w:color w:val="001E61" w:themeColor="text1"/>
              </w:rPr>
              <w:t>onsibilities</w:t>
            </w:r>
            <w:r w:rsidR="00CA08A2" w:rsidRPr="00701319">
              <w:rPr>
                <w:rFonts w:asciiTheme="minorHAnsi" w:hAnsiTheme="minorHAnsi" w:cstheme="minorHAnsi"/>
                <w:color w:val="001E61" w:themeColor="text1"/>
              </w:rPr>
              <w:t>,</w:t>
            </w:r>
            <w:r w:rsidR="00ED4358" w:rsidRPr="00701319">
              <w:rPr>
                <w:rFonts w:asciiTheme="minorHAnsi" w:hAnsiTheme="minorHAnsi" w:cstheme="minorHAnsi"/>
                <w:color w:val="001E61" w:themeColor="text1"/>
              </w:rPr>
              <w:t xml:space="preserve"> the post-holder will have direct contact with </w:t>
            </w:r>
            <w:r w:rsidR="00D16978" w:rsidRPr="00701319">
              <w:rPr>
                <w:rFonts w:asciiTheme="minorHAnsi" w:hAnsiTheme="minorHAnsi" w:cstheme="minorHAnsi"/>
                <w:color w:val="001E61" w:themeColor="text1"/>
              </w:rPr>
              <w:t xml:space="preserve">alumni, supporting with communications, customer service and connecting the alumni elective </w:t>
            </w:r>
            <w:proofErr w:type="spellStart"/>
            <w:r w:rsidR="00D16978" w:rsidRPr="00701319">
              <w:rPr>
                <w:rFonts w:asciiTheme="minorHAnsi" w:hAnsiTheme="minorHAnsi" w:cstheme="minorHAnsi"/>
                <w:color w:val="001E61" w:themeColor="text1"/>
              </w:rPr>
              <w:t>programme</w:t>
            </w:r>
            <w:proofErr w:type="spellEnd"/>
            <w:r w:rsidR="00D16978" w:rsidRPr="00701319">
              <w:rPr>
                <w:rFonts w:asciiTheme="minorHAnsi" w:hAnsiTheme="minorHAnsi" w:cstheme="minorHAnsi"/>
                <w:color w:val="001E61" w:themeColor="text1"/>
              </w:rPr>
              <w:t xml:space="preserve"> to other activities and initiatives </w:t>
            </w:r>
            <w:r w:rsidR="00CA08A2" w:rsidRPr="00701319">
              <w:rPr>
                <w:rFonts w:asciiTheme="minorHAnsi" w:hAnsiTheme="minorHAnsi" w:cstheme="minorHAnsi"/>
                <w:color w:val="001E61" w:themeColor="text1"/>
              </w:rPr>
              <w:t xml:space="preserve">managed by the Alumni </w:t>
            </w:r>
            <w:r w:rsidR="00CB4DCE" w:rsidRPr="00701319">
              <w:rPr>
                <w:rFonts w:asciiTheme="minorHAnsi" w:hAnsiTheme="minorHAnsi" w:cstheme="minorHAnsi"/>
                <w:color w:val="001E61" w:themeColor="text1"/>
              </w:rPr>
              <w:t xml:space="preserve">Engagement </w:t>
            </w:r>
            <w:r w:rsidR="00CB4DCE">
              <w:rPr>
                <w:rFonts w:asciiTheme="minorHAnsi" w:hAnsiTheme="minorHAnsi" w:cstheme="minorHAnsi"/>
                <w:color w:val="001E61" w:themeColor="text1"/>
              </w:rPr>
              <w:t>team</w:t>
            </w:r>
            <w:r w:rsidR="00CA08A2" w:rsidRPr="00701319">
              <w:rPr>
                <w:rFonts w:asciiTheme="minorHAnsi" w:hAnsiTheme="minorHAnsi" w:cstheme="minorHAnsi"/>
                <w:color w:val="001E61" w:themeColor="text1"/>
              </w:rPr>
              <w:t>.</w:t>
            </w:r>
          </w:p>
          <w:p w14:paraId="4D5F66B6" w14:textId="4DA31E8B" w:rsidR="00C312E6" w:rsidRDefault="0072272E" w:rsidP="720129FD">
            <w:pPr>
              <w:rPr>
                <w:rFonts w:asciiTheme="minorHAnsi" w:hAnsiTheme="minorHAnsi" w:cstheme="minorHAnsi"/>
              </w:rPr>
            </w:pPr>
            <w:r w:rsidRPr="00701319">
              <w:rPr>
                <w:rFonts w:asciiTheme="minorHAnsi" w:hAnsiTheme="minorHAnsi" w:cstheme="minorHAnsi"/>
              </w:rPr>
              <w:t xml:space="preserve">The post-holder will work collaboratively with </w:t>
            </w:r>
            <w:r w:rsidR="00CB4DCE">
              <w:rPr>
                <w:rFonts w:asciiTheme="minorHAnsi" w:hAnsiTheme="minorHAnsi" w:cstheme="minorHAnsi"/>
              </w:rPr>
              <w:t>f</w:t>
            </w:r>
            <w:r w:rsidRPr="00701319">
              <w:rPr>
                <w:rFonts w:asciiTheme="minorHAnsi" w:hAnsiTheme="minorHAnsi" w:cstheme="minorHAnsi"/>
              </w:rPr>
              <w:t xml:space="preserve">aculty and staff from Subject Areas </w:t>
            </w:r>
            <w:r w:rsidR="00CB4DCE">
              <w:rPr>
                <w:rFonts w:asciiTheme="minorHAnsi" w:hAnsiTheme="minorHAnsi" w:cstheme="minorHAnsi"/>
              </w:rPr>
              <w:t>as well as</w:t>
            </w:r>
            <w:r w:rsidRPr="00701319">
              <w:rPr>
                <w:rFonts w:asciiTheme="minorHAnsi" w:hAnsiTheme="minorHAnsi" w:cstheme="minorHAnsi"/>
              </w:rPr>
              <w:t xml:space="preserve"> other School departments, including </w:t>
            </w:r>
            <w:r w:rsidR="00FF1FFB" w:rsidRPr="00701319">
              <w:rPr>
                <w:rFonts w:asciiTheme="minorHAnsi" w:hAnsiTheme="minorHAnsi" w:cstheme="minorHAnsi"/>
              </w:rPr>
              <w:t>Digital Learning</w:t>
            </w:r>
            <w:r w:rsidR="0009739A">
              <w:rPr>
                <w:rFonts w:asciiTheme="minorHAnsi" w:hAnsiTheme="minorHAnsi" w:cstheme="minorHAnsi"/>
              </w:rPr>
              <w:t xml:space="preserve"> (</w:t>
            </w:r>
            <w:r w:rsidR="597BAB20" w:rsidRPr="00701319">
              <w:rPr>
                <w:rFonts w:asciiTheme="minorHAnsi" w:hAnsiTheme="minorHAnsi" w:cstheme="minorHAnsi"/>
              </w:rPr>
              <w:t>Library</w:t>
            </w:r>
            <w:r w:rsidR="0009739A">
              <w:rPr>
                <w:rFonts w:asciiTheme="minorHAnsi" w:hAnsiTheme="minorHAnsi" w:cstheme="minorHAnsi"/>
              </w:rPr>
              <w:t>)</w:t>
            </w:r>
            <w:r w:rsidR="00BA02B6">
              <w:rPr>
                <w:rFonts w:asciiTheme="minorHAnsi" w:hAnsiTheme="minorHAnsi" w:cstheme="minorHAnsi"/>
              </w:rPr>
              <w:t>,</w:t>
            </w:r>
            <w:r w:rsidR="00FF1FFB" w:rsidRPr="00701319">
              <w:rPr>
                <w:rFonts w:asciiTheme="minorHAnsi" w:hAnsiTheme="minorHAnsi" w:cstheme="minorHAnsi"/>
              </w:rPr>
              <w:t xml:space="preserve"> </w:t>
            </w:r>
            <w:r w:rsidR="00813F2A">
              <w:rPr>
                <w:rFonts w:asciiTheme="minorHAnsi" w:hAnsiTheme="minorHAnsi" w:cstheme="minorHAnsi"/>
              </w:rPr>
              <w:t xml:space="preserve">Technology, </w:t>
            </w:r>
            <w:r w:rsidR="00FF1FFB" w:rsidRPr="00701319">
              <w:rPr>
                <w:rFonts w:asciiTheme="minorHAnsi" w:hAnsiTheme="minorHAnsi" w:cstheme="minorHAnsi"/>
              </w:rPr>
              <w:t>Finance and Marketing</w:t>
            </w:r>
            <w:r w:rsidRPr="00701319">
              <w:rPr>
                <w:rFonts w:asciiTheme="minorHAnsi" w:hAnsiTheme="minorHAnsi" w:cstheme="minorHAnsi"/>
              </w:rPr>
              <w:t>.</w:t>
            </w:r>
          </w:p>
          <w:p w14:paraId="0E388565" w14:textId="64121207" w:rsidR="00C312E6" w:rsidRPr="00C312E6" w:rsidRDefault="00C312E6" w:rsidP="720129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role will also support </w:t>
            </w:r>
            <w:r w:rsidR="00977420">
              <w:rPr>
                <w:rFonts w:asciiTheme="minorHAnsi" w:hAnsiTheme="minorHAnsi" w:cstheme="minorHAnsi"/>
              </w:rPr>
              <w:t xml:space="preserve">other Central Service </w:t>
            </w:r>
            <w:r>
              <w:rPr>
                <w:rFonts w:asciiTheme="minorHAnsi" w:hAnsiTheme="minorHAnsi" w:cstheme="minorHAnsi"/>
              </w:rPr>
              <w:t>projects.</w:t>
            </w:r>
          </w:p>
        </w:tc>
      </w:tr>
    </w:tbl>
    <w:p w14:paraId="34A81841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222E77D4" w14:textId="77777777" w:rsidTr="720129FD">
        <w:trPr>
          <w:trHeight w:val="287"/>
        </w:trPr>
        <w:tc>
          <w:tcPr>
            <w:tcW w:w="8867" w:type="dxa"/>
            <w:shd w:val="clear" w:color="auto" w:fill="001E62"/>
          </w:tcPr>
          <w:p w14:paraId="2FB7330E" w14:textId="77777777" w:rsidR="00B80D24" w:rsidRPr="00B80D24" w:rsidRDefault="00B80D24" w:rsidP="009F0B63">
            <w:pPr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D925F7" w:rsidRPr="00D01F88" w14:paraId="329D3E76" w14:textId="77777777" w:rsidTr="720129FD">
        <w:trPr>
          <w:trHeight w:val="748"/>
        </w:trPr>
        <w:tc>
          <w:tcPr>
            <w:tcW w:w="8867" w:type="dxa"/>
          </w:tcPr>
          <w:p w14:paraId="6BB7CE63" w14:textId="77777777" w:rsidR="004B4B46" w:rsidRPr="00701319" w:rsidRDefault="004B4B46" w:rsidP="004B4B46">
            <w:pPr>
              <w:rPr>
                <w:rFonts w:asciiTheme="minorHAnsi" w:hAnsiTheme="minorHAnsi" w:cstheme="minorHAnsi"/>
                <w:b/>
                <w:sz w:val="22"/>
                <w:szCs w:val="20"/>
                <w:u w:val="single"/>
                <w:lang w:eastAsia="en-US"/>
              </w:rPr>
            </w:pPr>
            <w:r w:rsidRPr="00701319">
              <w:rPr>
                <w:rFonts w:asciiTheme="minorHAnsi" w:hAnsiTheme="minorHAnsi" w:cstheme="minorHAnsi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0575AC05" w14:textId="77777777" w:rsidR="004B4B46" w:rsidRPr="00701319" w:rsidRDefault="004B4B46" w:rsidP="004B4B46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  <w:r w:rsidRPr="00701319"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  <w:t xml:space="preserve">Delivery and Support </w:t>
            </w:r>
          </w:p>
          <w:p w14:paraId="582C1EF3" w14:textId="17BAFA21" w:rsidR="00840C66" w:rsidRDefault="00840C66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>
              <w:t>With the Director</w:t>
            </w:r>
            <w:r w:rsidR="0009739A">
              <w:t xml:space="preserve"> and Deputy Director</w:t>
            </w:r>
            <w:r>
              <w:t xml:space="preserve">, Central Services develop and identify a shortlist of electives access, space provision and </w:t>
            </w:r>
            <w:r w:rsidR="004D3DC5">
              <w:t>allocation,</w:t>
            </w:r>
            <w:r>
              <w:t xml:space="preserve"> liaising with </w:t>
            </w:r>
            <w:r w:rsidR="004D3DC5">
              <w:t>F</w:t>
            </w:r>
            <w:r>
              <w:t xml:space="preserve">aculty and </w:t>
            </w:r>
            <w:r w:rsidR="00D9065E">
              <w:t>S</w:t>
            </w:r>
            <w:r>
              <w:t xml:space="preserve">ubject </w:t>
            </w:r>
            <w:r w:rsidR="00D9065E">
              <w:t>A</w:t>
            </w:r>
            <w:r>
              <w:t xml:space="preserve">reas as appropriate. </w:t>
            </w:r>
          </w:p>
          <w:p w14:paraId="67CE0AB6" w14:textId="58465354" w:rsidR="00840C66" w:rsidRDefault="69C844CE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>
              <w:t xml:space="preserve">Manage register of interest, </w:t>
            </w:r>
            <w:proofErr w:type="gramStart"/>
            <w:r>
              <w:t>application</w:t>
            </w:r>
            <w:proofErr w:type="gramEnd"/>
            <w:r>
              <w:t xml:space="preserve"> and enrolment process, ensuring </w:t>
            </w:r>
            <w:r w:rsidR="6770F4DC">
              <w:t>a</w:t>
            </w:r>
            <w:r>
              <w:t>lumni are successfully enrolled and Terms &amp; Conditions are signed</w:t>
            </w:r>
            <w:r w:rsidR="00D9065E">
              <w:t>.</w:t>
            </w:r>
            <w:r>
              <w:t xml:space="preserve"> </w:t>
            </w:r>
          </w:p>
          <w:p w14:paraId="435C4D8E" w14:textId="7ADDEFF8" w:rsidR="00840C66" w:rsidRDefault="00840C66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>
              <w:t xml:space="preserve">Lead on course </w:t>
            </w:r>
            <w:r w:rsidR="009D5D96">
              <w:t xml:space="preserve">logistics and </w:t>
            </w:r>
            <w:r>
              <w:t xml:space="preserve">management, access to </w:t>
            </w:r>
            <w:r w:rsidR="00D9065E">
              <w:t>C</w:t>
            </w:r>
            <w:r>
              <w:t xml:space="preserve">anvas </w:t>
            </w:r>
            <w:r w:rsidR="009D5D96">
              <w:t>and</w:t>
            </w:r>
            <w:r>
              <w:t xml:space="preserve"> working with Technology colleagues to ensure appro</w:t>
            </w:r>
            <w:r w:rsidR="009D5D96">
              <w:t>priate IT identi</w:t>
            </w:r>
            <w:r w:rsidR="004D3DC5">
              <w:t>t</w:t>
            </w:r>
            <w:r w:rsidR="009D5D96">
              <w:t xml:space="preserve">y set-up, email access etc. </w:t>
            </w:r>
          </w:p>
          <w:p w14:paraId="47278702" w14:textId="7A371B02" w:rsidR="005D5B11" w:rsidRDefault="005D5B11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>
              <w:t>Liais</w:t>
            </w:r>
            <w:r w:rsidR="00D9065E">
              <w:t>e</w:t>
            </w:r>
            <w:r>
              <w:t xml:space="preserve"> with Digital Learning </w:t>
            </w:r>
            <w:r w:rsidR="00055CED">
              <w:t>(</w:t>
            </w:r>
            <w:r>
              <w:t>Library</w:t>
            </w:r>
            <w:r w:rsidR="00055CED">
              <w:t>)</w:t>
            </w:r>
            <w:r>
              <w:t xml:space="preserve"> colleagues </w:t>
            </w:r>
            <w:r w:rsidR="00D9065E">
              <w:t>on the securing of appropriate licenses for learning resources.</w:t>
            </w:r>
          </w:p>
          <w:p w14:paraId="51000083" w14:textId="2C15B0CB" w:rsidR="009D5D96" w:rsidRPr="005E3AD9" w:rsidRDefault="0EF5DADA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proofErr w:type="spellStart"/>
            <w:r w:rsidRPr="005E3AD9">
              <w:lastRenderedPageBreak/>
              <w:t>Enrol</w:t>
            </w:r>
            <w:proofErr w:type="spellEnd"/>
            <w:r w:rsidRPr="005E3AD9">
              <w:t xml:space="preserve"> </w:t>
            </w:r>
            <w:r w:rsidR="247E7D89" w:rsidRPr="005E3AD9">
              <w:t xml:space="preserve">and assign </w:t>
            </w:r>
            <w:r w:rsidR="2B067EB7" w:rsidRPr="005E3AD9">
              <w:t>alumni on</w:t>
            </w:r>
            <w:r w:rsidRPr="005E3AD9">
              <w:t>to relevant elective course</w:t>
            </w:r>
            <w:r w:rsidR="247E7D89" w:rsidRPr="005E3AD9">
              <w:t>(s)</w:t>
            </w:r>
            <w:r w:rsidRPr="005E3AD9">
              <w:t xml:space="preserve"> via </w:t>
            </w:r>
            <w:proofErr w:type="spellStart"/>
            <w:r w:rsidRPr="005E3AD9">
              <w:t>SchoolDB</w:t>
            </w:r>
            <w:proofErr w:type="spellEnd"/>
            <w:r w:rsidRPr="005E3AD9">
              <w:t>.</w:t>
            </w:r>
          </w:p>
          <w:p w14:paraId="35A99212" w14:textId="6DC25DCA" w:rsidR="005D5B11" w:rsidRPr="005E3AD9" w:rsidRDefault="247E7D89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 w:rsidRPr="005E3AD9">
              <w:t xml:space="preserve">Provide </w:t>
            </w:r>
            <w:r w:rsidR="00D9065E">
              <w:t>S</w:t>
            </w:r>
            <w:r w:rsidRPr="005E3AD9">
              <w:t xml:space="preserve">ubject </w:t>
            </w:r>
            <w:r w:rsidR="00D9065E">
              <w:t>A</w:t>
            </w:r>
            <w:r w:rsidRPr="005E3AD9">
              <w:t>rea</w:t>
            </w:r>
            <w:r w:rsidR="00055CED">
              <w:t xml:space="preserve"> staff</w:t>
            </w:r>
            <w:r w:rsidRPr="005E3AD9">
              <w:t xml:space="preserve"> and </w:t>
            </w:r>
            <w:r w:rsidR="00055CED">
              <w:t>f</w:t>
            </w:r>
            <w:r w:rsidRPr="005E3AD9">
              <w:t>aculty with course alumni enrolment list</w:t>
            </w:r>
            <w:r w:rsidR="0ACBAC8C" w:rsidRPr="005E3AD9">
              <w:t xml:space="preserve"> and other materials that</w:t>
            </w:r>
            <w:r w:rsidR="4E6D879C" w:rsidRPr="005E3AD9">
              <w:t xml:space="preserve"> support their engagement with alumni in the classroom (biographies for example)</w:t>
            </w:r>
          </w:p>
          <w:p w14:paraId="728EBAF1" w14:textId="7B098CC3" w:rsidR="00840C66" w:rsidRPr="004B4B46" w:rsidRDefault="00840C66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 w:rsidRPr="005E3AD9">
              <w:t>Through liaison with the Finance team</w:t>
            </w:r>
            <w:r>
              <w:t xml:space="preserve"> ensure appropriate payment mechanisms are in place for alumni. Track payments as appropriate and report on income profile to Senior management. </w:t>
            </w:r>
          </w:p>
          <w:p w14:paraId="3BCD1E3E" w14:textId="30B8DCB6" w:rsidR="004B4B46" w:rsidRDefault="69C844CE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>
              <w:t xml:space="preserve">Work with colleagues in Advancement and Marketing </w:t>
            </w:r>
            <w:r w:rsidR="2633F627">
              <w:t xml:space="preserve">to </w:t>
            </w:r>
            <w:r>
              <w:t>develop appropriate promotional material and publicity communications to alumni</w:t>
            </w:r>
            <w:r w:rsidR="04BE81EB">
              <w:t xml:space="preserve"> to help encourage registration and drive broad awareness of the offering.</w:t>
            </w:r>
          </w:p>
          <w:p w14:paraId="7F12BECB" w14:textId="3B421D25" w:rsidR="005D5B11" w:rsidRDefault="005D5B11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 w:rsidRPr="004B4B46">
              <w:t xml:space="preserve">Design and develop </w:t>
            </w:r>
            <w:r>
              <w:t>process</w:t>
            </w:r>
            <w:r w:rsidRPr="004B4B46">
              <w:t xml:space="preserve"> and policy guidance, with supervision from more senior colleagues, for use in the provision of an efficient and effective </w:t>
            </w:r>
            <w:r>
              <w:t xml:space="preserve">customer </w:t>
            </w:r>
            <w:r w:rsidRPr="004B4B46">
              <w:t xml:space="preserve">support service. </w:t>
            </w:r>
          </w:p>
          <w:p w14:paraId="23A062A4" w14:textId="1C58BD37" w:rsidR="005D5B11" w:rsidRPr="004B4B46" w:rsidRDefault="005D5B11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 w:rsidRPr="004B4B46">
              <w:t>Resolve operational day-to-day issues</w:t>
            </w:r>
            <w:r>
              <w:t xml:space="preserve">, </w:t>
            </w:r>
            <w:r w:rsidRPr="004B4B46">
              <w:t xml:space="preserve">ensuring an efficient and </w:t>
            </w:r>
            <w:r w:rsidR="008C1B59">
              <w:t xml:space="preserve">world </w:t>
            </w:r>
            <w:r w:rsidRPr="004B4B46">
              <w:t xml:space="preserve">class service is extended to all stakeholders. </w:t>
            </w:r>
          </w:p>
          <w:p w14:paraId="7264E489" w14:textId="0FF52CE4" w:rsidR="005D5B11" w:rsidRPr="005D5B11" w:rsidRDefault="1A6F2DA3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0"/>
              </w:numPr>
            </w:pPr>
            <w:r>
              <w:t>When required</w:t>
            </w:r>
            <w:r w:rsidR="2F8B0C76">
              <w:t>,</w:t>
            </w:r>
            <w:r>
              <w:t xml:space="preserve"> communicate directly with alumni </w:t>
            </w:r>
            <w:proofErr w:type="gramStart"/>
            <w:r>
              <w:t>attendees</w:t>
            </w:r>
            <w:proofErr w:type="gramEnd"/>
            <w:r>
              <w:t xml:space="preserve"> and deliver </w:t>
            </w:r>
            <w:r w:rsidR="7D841F7D">
              <w:t>excellent customer service.</w:t>
            </w:r>
          </w:p>
          <w:p w14:paraId="470DF4EF" w14:textId="77777777" w:rsidR="004B4B46" w:rsidRPr="004B4B46" w:rsidRDefault="004B4B46" w:rsidP="004B4B46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4B4B46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Analysis and Reporting </w:t>
            </w:r>
          </w:p>
          <w:p w14:paraId="7D7A4871" w14:textId="3614C4F8" w:rsidR="004B4B46" w:rsidRPr="004B4B46" w:rsidRDefault="004B4B46" w:rsidP="00977420">
            <w:pPr>
              <w:pStyle w:val="ListParagraph"/>
              <w:framePr w:hSpace="0" w:wrap="auto" w:vAnchor="margin" w:hAnchor="text" w:yAlign="inline"/>
            </w:pPr>
            <w:r w:rsidRPr="004B4B46">
              <w:t xml:space="preserve">Independently collate, </w:t>
            </w:r>
            <w:r w:rsidR="00BA02B6" w:rsidRPr="004B4B46">
              <w:t>cleanse,</w:t>
            </w:r>
            <w:r w:rsidRPr="004B4B46">
              <w:t xml:space="preserve"> and </w:t>
            </w:r>
            <w:proofErr w:type="spellStart"/>
            <w:r w:rsidRPr="004B4B46">
              <w:t>analyse</w:t>
            </w:r>
            <w:proofErr w:type="spellEnd"/>
            <w:r w:rsidRPr="004B4B46">
              <w:t xml:space="preserve"> data, and make recommendations based on analysis to support the department’s </w:t>
            </w:r>
            <w:r w:rsidR="00BA02B6" w:rsidRPr="004B4B46">
              <w:t>decision-making</w:t>
            </w:r>
            <w:r w:rsidRPr="004B4B46">
              <w:t xml:space="preserve"> process. </w:t>
            </w:r>
          </w:p>
          <w:p w14:paraId="42E8C48A" w14:textId="559B8850" w:rsidR="00C312E6" w:rsidRDefault="004B4B46" w:rsidP="00977420">
            <w:pPr>
              <w:pStyle w:val="ListParagraph"/>
              <w:framePr w:hSpace="0" w:wrap="auto" w:vAnchor="margin" w:hAnchor="text" w:yAlign="inline"/>
            </w:pPr>
            <w:r w:rsidRPr="004B4B46">
              <w:t xml:space="preserve">Liaise across the team and other departments to prepare reports to inform </w:t>
            </w:r>
            <w:r w:rsidR="0014703C">
              <w:t xml:space="preserve">course offering, enrolment trends, and future planning of the learning opportunities available for alumni. </w:t>
            </w:r>
            <w:r w:rsidRPr="004B4B46">
              <w:t xml:space="preserve"> </w:t>
            </w:r>
          </w:p>
          <w:p w14:paraId="4AC94040" w14:textId="72150CAB" w:rsidR="00977420" w:rsidRPr="004B4B46" w:rsidRDefault="00977420" w:rsidP="00977420">
            <w:pPr>
              <w:pStyle w:val="ListParagraph"/>
              <w:framePr w:hSpace="0" w:wrap="auto" w:vAnchor="margin" w:hAnchor="text" w:yAlign="inline"/>
            </w:pPr>
            <w:r>
              <w:t>Supporting data management and insights for other Central Services projects.</w:t>
            </w:r>
          </w:p>
          <w:p w14:paraId="293583C1" w14:textId="77777777" w:rsidR="004B4B46" w:rsidRPr="004B4B46" w:rsidRDefault="004B4B46" w:rsidP="004B4B46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4B4B46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Collaboration </w:t>
            </w:r>
          </w:p>
          <w:p w14:paraId="050C3F5C" w14:textId="77777777" w:rsidR="00E91AB1" w:rsidRDefault="004B4B46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2"/>
              </w:numPr>
            </w:pPr>
            <w:r w:rsidRPr="004B4B46">
              <w:t xml:space="preserve">Collaborate closely with team members and other departments across the </w:t>
            </w:r>
            <w:proofErr w:type="gramStart"/>
            <w:r w:rsidRPr="004B4B46">
              <w:t>School</w:t>
            </w:r>
            <w:proofErr w:type="gramEnd"/>
            <w:r w:rsidRPr="004B4B46">
              <w:t xml:space="preserve"> to enable cross department working, to raise the team’s profile, and to drive consistency of approach/standards through the wider School, thereby enabling effective service delivery. </w:t>
            </w:r>
          </w:p>
          <w:p w14:paraId="4FF1EE67" w14:textId="0CB67662" w:rsidR="00DC1C64" w:rsidRPr="00E91AB1" w:rsidRDefault="00B86E48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2"/>
              </w:numPr>
            </w:pPr>
            <w:r>
              <w:t xml:space="preserve">Specifically collaborate with the Alumni Engagement Team to deliver seamless and </w:t>
            </w:r>
            <w:r w:rsidR="00BA02B6">
              <w:t>high-quality</w:t>
            </w:r>
            <w:r w:rsidR="005E11BF">
              <w:t xml:space="preserve"> experiences for alumni attending electives.</w:t>
            </w:r>
          </w:p>
          <w:p w14:paraId="41E76165" w14:textId="77777777" w:rsidR="004B4B46" w:rsidRPr="005D5B11" w:rsidRDefault="004B4B46" w:rsidP="00E91AB1">
            <w:pPr>
              <w:spacing w:after="200" w:line="276" w:lineRule="auto"/>
              <w:rPr>
                <w:rFonts w:ascii="Montserrat" w:hAnsi="Montserrat" w:cs="Arial"/>
                <w:b/>
                <w:sz w:val="22"/>
              </w:rPr>
            </w:pPr>
            <w:r w:rsidRPr="005D5B11">
              <w:rPr>
                <w:rFonts w:ascii="Montserrat" w:hAnsi="Montserrat" w:cs="Arial"/>
                <w:b/>
                <w:sz w:val="22"/>
              </w:rPr>
              <w:t xml:space="preserve">Project Management </w:t>
            </w:r>
          </w:p>
          <w:p w14:paraId="649049A3" w14:textId="176B8057" w:rsidR="004B4B46" w:rsidRDefault="004B4B46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2"/>
              </w:numPr>
            </w:pPr>
            <w:r w:rsidRPr="004B4B46">
              <w:t>Plan and deliver a</w:t>
            </w:r>
            <w:r w:rsidR="0014703C">
              <w:t xml:space="preserve"> lifelong learning alumni elective offering</w:t>
            </w:r>
            <w:r w:rsidR="00FA6EC2">
              <w:t xml:space="preserve">, </w:t>
            </w:r>
            <w:r w:rsidR="0014703C">
              <w:t>con</w:t>
            </w:r>
            <w:r w:rsidRPr="004B4B46">
              <w:t>tribute to more complex projects with guidance from more senior colleagues, to ensure delivery against project time, cost and quality standards, and targets</w:t>
            </w:r>
            <w:r w:rsidR="0014703C">
              <w:t xml:space="preserve"> as required.</w:t>
            </w:r>
          </w:p>
          <w:p w14:paraId="4A79DE3B" w14:textId="68BB9E19" w:rsidR="00C312E6" w:rsidRPr="004B4B46" w:rsidRDefault="00C312E6" w:rsidP="00977420">
            <w:pPr>
              <w:pStyle w:val="ListParagraph"/>
              <w:framePr w:hSpace="0" w:wrap="auto" w:vAnchor="margin" w:hAnchor="text" w:yAlign="inline"/>
              <w:numPr>
                <w:ilvl w:val="0"/>
                <w:numId w:val="22"/>
              </w:numPr>
            </w:pPr>
            <w:r>
              <w:t>Contribute to other projects in Central Services</w:t>
            </w:r>
            <w:r w:rsidR="00FA6EC2">
              <w:t>’</w:t>
            </w:r>
            <w:r>
              <w:t xml:space="preserve"> corporate plan, as required</w:t>
            </w:r>
          </w:p>
          <w:p w14:paraId="0E65EC47" w14:textId="77777777" w:rsidR="004B4B46" w:rsidRPr="004B4B46" w:rsidRDefault="004B4B46" w:rsidP="004B4B46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4B4B46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Process Improvement </w:t>
            </w:r>
          </w:p>
          <w:p w14:paraId="4101E693" w14:textId="6028855F" w:rsidR="001C3008" w:rsidRDefault="00E91AB1" w:rsidP="00977420">
            <w:pPr>
              <w:pStyle w:val="ListParagraph"/>
              <w:framePr w:hSpace="0" w:wrap="auto" w:vAnchor="margin" w:hAnchor="text" w:yAlign="inline"/>
              <w:rPr>
                <w:rFonts w:ascii="HelveticaNeueLT Std" w:hAnsi="HelveticaNeueLT Std"/>
              </w:rPr>
            </w:pPr>
            <w:r w:rsidRPr="00E91AB1">
              <w:t xml:space="preserve">Monitor processes, </w:t>
            </w:r>
            <w:r w:rsidR="00BA02B6" w:rsidRPr="00E91AB1">
              <w:t>systems,</w:t>
            </w:r>
            <w:r w:rsidRPr="00E91AB1">
              <w:t xml:space="preserve"> and practices within area of specialism, plan and carry out regular reviews to identify opportunities for improvement </w:t>
            </w:r>
            <w:proofErr w:type="gramStart"/>
            <w:r w:rsidRPr="00E91AB1">
              <w:t>in light of</w:t>
            </w:r>
            <w:proofErr w:type="gramEnd"/>
            <w:r w:rsidRPr="00E91AB1">
              <w:t xml:space="preserve"> changing needs, feedback and/or current best practice thinking; follow through on improvements once agreed.</w:t>
            </w:r>
            <w:r w:rsidRPr="007B40DE">
              <w:rPr>
                <w:rFonts w:ascii="HelveticaNeueLT Std" w:hAnsi="HelveticaNeueLT Std"/>
              </w:rPr>
              <w:t xml:space="preserve"> </w:t>
            </w:r>
          </w:p>
          <w:p w14:paraId="26E8F182" w14:textId="596FE903" w:rsidR="00085266" w:rsidRPr="00081B45" w:rsidRDefault="006D336C" w:rsidP="00977420">
            <w:pPr>
              <w:pStyle w:val="ListParagraph"/>
              <w:framePr w:hSpace="0" w:wrap="auto" w:vAnchor="margin" w:hAnchor="text" w:yAlign="inline"/>
            </w:pPr>
            <w:r>
              <w:t xml:space="preserve">Document processes and policies to ensure </w:t>
            </w:r>
            <w:r w:rsidR="0045004F">
              <w:t xml:space="preserve">that there is a robust set of procedures governing the alumni elective </w:t>
            </w:r>
            <w:r w:rsidR="00B25F0E">
              <w:t>offering.</w:t>
            </w:r>
          </w:p>
          <w:p w14:paraId="0A1FF6DB" w14:textId="77777777" w:rsidR="004B4B46" w:rsidRPr="00464CA7" w:rsidRDefault="004B4B46" w:rsidP="004B4B46">
            <w:pPr>
              <w:spacing w:after="200" w:line="276" w:lineRule="auto"/>
              <w:rPr>
                <w:rFonts w:ascii="Montserrat" w:hAnsi="Montserrat" w:cs="Arial"/>
                <w:b/>
                <w:color w:val="002060"/>
                <w:sz w:val="22"/>
                <w:szCs w:val="20"/>
                <w:lang w:eastAsia="en-US"/>
              </w:rPr>
            </w:pPr>
            <w:r w:rsidRPr="00464CA7">
              <w:rPr>
                <w:rFonts w:ascii="Montserrat" w:hAnsi="Montserrat" w:cs="Arial"/>
                <w:b/>
                <w:color w:val="002060"/>
                <w:sz w:val="22"/>
                <w:szCs w:val="20"/>
                <w:lang w:eastAsia="en-US"/>
              </w:rPr>
              <w:t xml:space="preserve">People Management </w:t>
            </w:r>
          </w:p>
          <w:p w14:paraId="074DDF24" w14:textId="77777777" w:rsidR="00E91AB1" w:rsidRPr="005D5B11" w:rsidRDefault="00E91AB1" w:rsidP="00977420">
            <w:pPr>
              <w:pStyle w:val="ListParagraph"/>
              <w:framePr w:hSpace="0" w:wrap="auto" w:vAnchor="margin" w:hAnchor="text" w:yAlign="inline"/>
            </w:pPr>
            <w:r w:rsidRPr="005D5B11">
              <w:t xml:space="preserve">Role model the </w:t>
            </w:r>
            <w:proofErr w:type="gramStart"/>
            <w:r w:rsidRPr="005D5B11">
              <w:t>School’s</w:t>
            </w:r>
            <w:proofErr w:type="gramEnd"/>
            <w:r w:rsidRPr="005D5B11">
              <w:t xml:space="preserve"> culture and values, set </w:t>
            </w:r>
            <w:proofErr w:type="spellStart"/>
            <w:r w:rsidRPr="005D5B11">
              <w:t>behavioural</w:t>
            </w:r>
            <w:proofErr w:type="spellEnd"/>
            <w:r w:rsidRPr="005D5B11">
              <w:t xml:space="preserve"> expectations and support employee wellbeing.</w:t>
            </w:r>
          </w:p>
          <w:p w14:paraId="517628AA" w14:textId="77777777" w:rsidR="00E91AB1" w:rsidRPr="005D5B11" w:rsidRDefault="00E91AB1" w:rsidP="00977420">
            <w:pPr>
              <w:pStyle w:val="ListParagraph"/>
              <w:framePr w:hSpace="0" w:wrap="auto" w:vAnchor="margin" w:hAnchor="text" w:yAlign="inline"/>
            </w:pPr>
            <w:r w:rsidRPr="005D5B11">
              <w:t>Role model collaboration within team and with other related teams to support the collective achievement of objectives.</w:t>
            </w:r>
          </w:p>
          <w:p w14:paraId="3D02F1A0" w14:textId="2E83C808" w:rsidR="00E91AB1" w:rsidRPr="005D5B11" w:rsidRDefault="0014703C" w:rsidP="00977420">
            <w:pPr>
              <w:pStyle w:val="ListParagraph"/>
              <w:framePr w:hSpace="0" w:wrap="auto" w:vAnchor="margin" w:hAnchor="text" w:yAlign="inline"/>
            </w:pPr>
            <w:r w:rsidRPr="005D5B11">
              <w:lastRenderedPageBreak/>
              <w:t xml:space="preserve">Delivery of key deliverables through the support of stakeholders from across Subject Areas, </w:t>
            </w:r>
            <w:proofErr w:type="spellStart"/>
            <w:r w:rsidRPr="005D5B11">
              <w:t>Programme</w:t>
            </w:r>
            <w:proofErr w:type="spellEnd"/>
            <w:r w:rsidRPr="005D5B11">
              <w:t xml:space="preserve"> teams, Digital Learning, Finance and Marketing.</w:t>
            </w:r>
          </w:p>
          <w:p w14:paraId="34FC683C" w14:textId="77777777" w:rsidR="00E91AB1" w:rsidRPr="005D5B11" w:rsidRDefault="00E91AB1" w:rsidP="00977420">
            <w:pPr>
              <w:pStyle w:val="ListParagraph"/>
              <w:framePr w:hSpace="0" w:wrap="auto" w:vAnchor="margin" w:hAnchor="text" w:yAlign="inline"/>
            </w:pPr>
            <w:r w:rsidRPr="005D5B11">
              <w:t>Evidence of cross-team collaboration</w:t>
            </w:r>
          </w:p>
          <w:p w14:paraId="523788DB" w14:textId="77777777" w:rsidR="004B4B46" w:rsidRPr="004B4B46" w:rsidRDefault="004B4B46" w:rsidP="004B4B46">
            <w:pPr>
              <w:spacing w:after="200" w:line="276" w:lineRule="auto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4B4B46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Change Management </w:t>
            </w:r>
          </w:p>
          <w:p w14:paraId="378A2934" w14:textId="34EE4049" w:rsidR="004B4B46" w:rsidRPr="00E91AB1" w:rsidRDefault="004B4B46" w:rsidP="00977420">
            <w:pPr>
              <w:pStyle w:val="ListParagraph"/>
              <w:framePr w:hSpace="0" w:wrap="auto" w:vAnchor="margin" w:hAnchor="text" w:yAlign="inline"/>
            </w:pPr>
            <w:r w:rsidRPr="004B4B46">
              <w:t xml:space="preserve">Champion change by role modelling the </w:t>
            </w:r>
            <w:proofErr w:type="spellStart"/>
            <w:r w:rsidRPr="004B4B46">
              <w:t>behaviour</w:t>
            </w:r>
            <w:proofErr w:type="spellEnd"/>
            <w:r w:rsidRPr="004B4B46">
              <w:t xml:space="preserve"> expected from all </w:t>
            </w:r>
            <w:r w:rsidR="00BA02B6" w:rsidRPr="004B4B46">
              <w:t>colleagues and</w:t>
            </w:r>
            <w:r w:rsidRPr="004B4B46">
              <w:t xml:space="preserve"> follow through on new activities or actions brought about change to help support its successful implementation. </w:t>
            </w:r>
          </w:p>
          <w:p w14:paraId="4A5B7C18" w14:textId="77777777" w:rsidR="004B4B46" w:rsidRPr="00E91AB1" w:rsidRDefault="004B4B46" w:rsidP="00E91AB1">
            <w:pPr>
              <w:rPr>
                <w:rFonts w:ascii="Montserrat" w:hAnsi="Montserrat" w:cs="Arial"/>
                <w:b/>
                <w:szCs w:val="20"/>
                <w:u w:val="single"/>
              </w:rPr>
            </w:pPr>
            <w:r w:rsidRPr="004B4B46">
              <w:rPr>
                <w:rFonts w:ascii="Montserrat" w:hAnsi="Montserrat" w:cs="Arial"/>
                <w:b/>
                <w:szCs w:val="20"/>
                <w:u w:val="single"/>
              </w:rPr>
              <w:t>KPIs:</w:t>
            </w:r>
          </w:p>
          <w:p w14:paraId="32B47425" w14:textId="135FAEFE" w:rsidR="004B4B46" w:rsidRDefault="004B4B46" w:rsidP="00977420">
            <w:pPr>
              <w:pStyle w:val="ListParagraph"/>
              <w:framePr w:hSpace="0" w:wrap="auto" w:vAnchor="margin" w:hAnchor="text" w:yAlign="inline"/>
            </w:pPr>
            <w:r w:rsidRPr="0021419C">
              <w:t xml:space="preserve">Delivery of high-quality </w:t>
            </w:r>
            <w:r w:rsidR="0014703C" w:rsidRPr="0021419C">
              <w:t>lifelong learning offering to alumni.</w:t>
            </w:r>
            <w:r w:rsidRPr="0021419C">
              <w:t xml:space="preserve"> </w:t>
            </w:r>
          </w:p>
          <w:p w14:paraId="4FD87799" w14:textId="77777777" w:rsidR="004B4B46" w:rsidRPr="0021419C" w:rsidRDefault="004B4B46" w:rsidP="00977420">
            <w:pPr>
              <w:pStyle w:val="ListParagraph"/>
              <w:framePr w:hSpace="0" w:wrap="auto" w:vAnchor="margin" w:hAnchor="text" w:yAlign="inline"/>
            </w:pPr>
            <w:r w:rsidRPr="0021419C">
              <w:t xml:space="preserve">Area/team compliance with necessary regulations/processes. </w:t>
            </w:r>
          </w:p>
          <w:p w14:paraId="3E70FF59" w14:textId="77777777" w:rsidR="004B4B46" w:rsidRPr="0021419C" w:rsidRDefault="004B4B46" w:rsidP="00977420">
            <w:pPr>
              <w:pStyle w:val="ListParagraph"/>
              <w:framePr w:hSpace="0" w:wrap="auto" w:vAnchor="margin" w:hAnchor="text" w:yAlign="inline"/>
            </w:pPr>
            <w:r w:rsidRPr="0021419C">
              <w:t xml:space="preserve">Production of high-quality reports, with the identification of trends and issues. </w:t>
            </w:r>
          </w:p>
          <w:p w14:paraId="1000E036" w14:textId="6BE21C31" w:rsidR="004B4B46" w:rsidRPr="0021419C" w:rsidRDefault="004B4B46" w:rsidP="00977420">
            <w:pPr>
              <w:pStyle w:val="ListParagraph"/>
              <w:framePr w:hSpace="0" w:wrap="auto" w:vAnchor="margin" w:hAnchor="text" w:yAlign="inline"/>
            </w:pPr>
            <w:r w:rsidRPr="0021419C">
              <w:t xml:space="preserve">Timely and robust </w:t>
            </w:r>
            <w:r w:rsidR="001E4552" w:rsidRPr="0021419C">
              <w:t>enrolment of alumni on courses</w:t>
            </w:r>
            <w:r w:rsidR="008C1B59">
              <w:t>.</w:t>
            </w:r>
          </w:p>
          <w:p w14:paraId="77F75BB0" w14:textId="7B7BC5B7" w:rsidR="001E4552" w:rsidRPr="0021419C" w:rsidRDefault="001E4552" w:rsidP="00977420">
            <w:pPr>
              <w:pStyle w:val="ListParagraph"/>
              <w:framePr w:hSpace="0" w:wrap="auto" w:vAnchor="margin" w:hAnchor="text" w:yAlign="inline"/>
            </w:pPr>
            <w:r w:rsidRPr="0021419C">
              <w:t>Ensure alumn</w:t>
            </w:r>
            <w:r w:rsidR="008C1B59">
              <w:t>i</w:t>
            </w:r>
            <w:r w:rsidRPr="0021419C">
              <w:t xml:space="preserve"> receive course materials and access to </w:t>
            </w:r>
            <w:r w:rsidR="008C1B59">
              <w:t>C</w:t>
            </w:r>
            <w:r w:rsidRPr="0021419C">
              <w:t>anvas in a timely manner</w:t>
            </w:r>
            <w:r w:rsidR="008C1B59">
              <w:t>.</w:t>
            </w:r>
          </w:p>
          <w:p w14:paraId="0CA63A28" w14:textId="7CFA7D8A" w:rsidR="004B4B46" w:rsidRPr="0021419C" w:rsidRDefault="001E4552" w:rsidP="00977420">
            <w:pPr>
              <w:pStyle w:val="ListParagraph"/>
              <w:framePr w:hSpace="0" w:wrap="auto" w:vAnchor="margin" w:hAnchor="text" w:yAlign="inline"/>
            </w:pPr>
            <w:r w:rsidRPr="0021419C">
              <w:t>Financial payments processed in a timely manner</w:t>
            </w:r>
            <w:r w:rsidR="004B4B46" w:rsidRPr="0021419C">
              <w:t xml:space="preserve"> on time, on budget and to quality standards and targets. </w:t>
            </w:r>
          </w:p>
          <w:p w14:paraId="6011CF65" w14:textId="6383D624" w:rsidR="004B4B46" w:rsidRPr="0021419C" w:rsidRDefault="004B4B46" w:rsidP="00977420">
            <w:pPr>
              <w:pStyle w:val="ListParagraph"/>
              <w:framePr w:hSpace="0" w:wrap="auto" w:vAnchor="margin" w:hAnchor="text" w:yAlign="inline"/>
            </w:pPr>
            <w:r w:rsidRPr="0021419C">
              <w:t xml:space="preserve">Development of relationships </w:t>
            </w:r>
            <w:r w:rsidR="001E4552" w:rsidRPr="0021419C">
              <w:t>with key stakeholders</w:t>
            </w:r>
            <w:r w:rsidRPr="0021419C">
              <w:t xml:space="preserve"> and positive feedback from colleagues. </w:t>
            </w:r>
          </w:p>
          <w:p w14:paraId="264E3EBE" w14:textId="77777777" w:rsidR="004B4B46" w:rsidRPr="0021419C" w:rsidRDefault="004B4B46" w:rsidP="00977420">
            <w:pPr>
              <w:pStyle w:val="ListParagraph"/>
              <w:framePr w:hSpace="0" w:wrap="auto" w:vAnchor="margin" w:hAnchor="text" w:yAlign="inline"/>
            </w:pPr>
            <w:r w:rsidRPr="0021419C">
              <w:t xml:space="preserve">Improvements to processes and procedures in own area of specialism. </w:t>
            </w:r>
          </w:p>
          <w:p w14:paraId="4CD00535" w14:textId="31D43068" w:rsidR="001E50B7" w:rsidRPr="007446CB" w:rsidRDefault="00B25F0E" w:rsidP="00977420">
            <w:pPr>
              <w:pStyle w:val="ListParagraph"/>
              <w:framePr w:hSpace="0" w:wrap="auto" w:vAnchor="margin" w:hAnchor="text" w:yAlign="inline"/>
              <w:rPr>
                <w:b/>
              </w:rPr>
            </w:pPr>
            <w:r w:rsidRPr="0021419C">
              <w:t xml:space="preserve">Amplify alumni awareness of the </w:t>
            </w:r>
            <w:r w:rsidR="001E50B7" w:rsidRPr="0021419C">
              <w:t>elective offering</w:t>
            </w:r>
            <w:r w:rsidR="008C1B59">
              <w:t>.</w:t>
            </w:r>
          </w:p>
          <w:p w14:paraId="22C9CBD4" w14:textId="3451E5D7" w:rsidR="001E50B7" w:rsidRPr="001E50B7" w:rsidRDefault="001E50B7" w:rsidP="00977420">
            <w:pPr>
              <w:pStyle w:val="ListParagraph"/>
              <w:framePr w:hSpace="0" w:wrap="auto" w:vAnchor="margin" w:hAnchor="text" w:yAlign="inline"/>
            </w:pPr>
            <w:r w:rsidRPr="007446CB">
              <w:t>Positive</w:t>
            </w:r>
            <w:r>
              <w:t xml:space="preserve"> alumni feedback from attendees</w:t>
            </w:r>
            <w:r w:rsidR="008C1B59">
              <w:t>.</w:t>
            </w:r>
          </w:p>
        </w:tc>
      </w:tr>
    </w:tbl>
    <w:p w14:paraId="5572026B" w14:textId="77777777" w:rsidR="00B80D24" w:rsidRPr="00D01F88" w:rsidRDefault="00B80D24" w:rsidP="008A0D70">
      <w:pPr>
        <w:rPr>
          <w:rFonts w:ascii="Montserrat" w:hAnsi="Montserrat"/>
        </w:rPr>
      </w:pPr>
    </w:p>
    <w:p w14:paraId="11D39CA3" w14:textId="77777777" w:rsidR="00B80D24" w:rsidRPr="00D01F88" w:rsidRDefault="00B80D24" w:rsidP="00B80D24">
      <w:pPr>
        <w:rPr>
          <w:rFonts w:ascii="Montserrat" w:hAnsi="Montserrat"/>
        </w:rPr>
      </w:pPr>
    </w:p>
    <w:p w14:paraId="7E2CE3EA" w14:textId="77777777" w:rsidR="00B80D24" w:rsidRPr="00D01F88" w:rsidRDefault="00B80D24" w:rsidP="00B80D24">
      <w:pPr>
        <w:rPr>
          <w:rFonts w:ascii="Montserrat" w:hAnsi="Montserrat"/>
        </w:rPr>
      </w:pPr>
    </w:p>
    <w:p w14:paraId="1B308BE2" w14:textId="77777777" w:rsidR="00B80D24" w:rsidRPr="00D01F88" w:rsidRDefault="00B80D24" w:rsidP="00B80D24">
      <w:pPr>
        <w:rPr>
          <w:rFonts w:ascii="Montserrat" w:hAnsi="Montserrat"/>
        </w:rPr>
      </w:pPr>
    </w:p>
    <w:p w14:paraId="30732AF4" w14:textId="77777777" w:rsidR="00B80D24" w:rsidRPr="00D01F88" w:rsidRDefault="00B80D24" w:rsidP="00B80D24">
      <w:pPr>
        <w:rPr>
          <w:rFonts w:ascii="Montserrat" w:hAnsi="Montserrat"/>
        </w:rPr>
      </w:pPr>
    </w:p>
    <w:p w14:paraId="4D43A1EA" w14:textId="77777777" w:rsidR="00B80D24" w:rsidRPr="00D01F88" w:rsidRDefault="00B80D24" w:rsidP="00B80D24">
      <w:pPr>
        <w:rPr>
          <w:rFonts w:ascii="Montserrat" w:hAnsi="Montserrat"/>
        </w:rPr>
      </w:pPr>
    </w:p>
    <w:p w14:paraId="36A76E97" w14:textId="77777777" w:rsidR="00B80D24" w:rsidRPr="00D01F88" w:rsidRDefault="00B80D24" w:rsidP="00B80D24">
      <w:pPr>
        <w:rPr>
          <w:rFonts w:ascii="Montserrat" w:hAnsi="Montserrat"/>
        </w:rPr>
      </w:pPr>
    </w:p>
    <w:p w14:paraId="504A75DD" w14:textId="77777777" w:rsidR="00B80D24" w:rsidRDefault="00B80D24" w:rsidP="00B80D24"/>
    <w:tbl>
      <w:tblPr>
        <w:tblStyle w:val="TableGrid"/>
        <w:tblpPr w:leftFromText="180" w:rightFromText="180" w:vertAnchor="text" w:horzAnchor="margin" w:tblpY="1652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02C26" w14:paraId="6F4A3F7B" w14:textId="77777777" w:rsidTr="00C312E6">
        <w:trPr>
          <w:trHeight w:val="416"/>
        </w:trPr>
        <w:tc>
          <w:tcPr>
            <w:tcW w:w="8897" w:type="dxa"/>
            <w:shd w:val="clear" w:color="auto" w:fill="001E62"/>
          </w:tcPr>
          <w:p w14:paraId="583B2012" w14:textId="77777777" w:rsidR="00B02C26" w:rsidRPr="00B80D24" w:rsidRDefault="00B02C26" w:rsidP="00C312E6">
            <w:pPr>
              <w:rPr>
                <w:rFonts w:ascii="GT Sectra Fine BoldStd" w:hAnsi="GT Sectra Fine BoldStd" w:cs="Arial"/>
                <w:b/>
                <w:sz w:val="22"/>
                <w:szCs w:val="20"/>
                <w:lang w:eastAsia="en-US"/>
              </w:rPr>
            </w:pPr>
            <w:r w:rsidRPr="00D01F88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Knowledge/Qualifications/Skills/Experience required</w:t>
            </w:r>
          </w:p>
        </w:tc>
      </w:tr>
      <w:tr w:rsidR="00B02C26" w14:paraId="69492614" w14:textId="77777777" w:rsidTr="00C312E6">
        <w:trPr>
          <w:trHeight w:val="1086"/>
        </w:trPr>
        <w:tc>
          <w:tcPr>
            <w:tcW w:w="8897" w:type="dxa"/>
          </w:tcPr>
          <w:p w14:paraId="0E7255EF" w14:textId="77777777" w:rsidR="00B02C26" w:rsidRPr="00E91AB1" w:rsidRDefault="00B02C26" w:rsidP="00977420">
            <w:pPr>
              <w:pStyle w:val="ListParagraph"/>
              <w:framePr w:hSpace="0" w:wrap="auto" w:vAnchor="margin" w:hAnchor="text" w:yAlign="inline"/>
            </w:pPr>
            <w:r w:rsidRPr="00E91AB1">
              <w:t xml:space="preserve">Bachelor’s degree </w:t>
            </w:r>
            <w:r>
              <w:t>and/</w:t>
            </w:r>
            <w:r w:rsidRPr="00E91AB1">
              <w:t xml:space="preserve">or equivalent experience in a related area.  </w:t>
            </w:r>
          </w:p>
          <w:p w14:paraId="27625A34" w14:textId="77777777" w:rsidR="00424F06" w:rsidRDefault="00B02C26" w:rsidP="00977420">
            <w:pPr>
              <w:pStyle w:val="ListParagraph"/>
              <w:framePr w:hSpace="0" w:wrap="auto" w:vAnchor="margin" w:hAnchor="text" w:yAlign="inline"/>
            </w:pPr>
            <w:r w:rsidRPr="00E91AB1">
              <w:t xml:space="preserve">Good communication skills and the ability to </w:t>
            </w:r>
            <w:r>
              <w:t>manage key relationships</w:t>
            </w:r>
            <w:r w:rsidR="00424F06">
              <w:t xml:space="preserve"> with senior stakeholder</w:t>
            </w:r>
          </w:p>
          <w:p w14:paraId="53577C3A" w14:textId="4E1D4E96" w:rsidR="00B02C26" w:rsidRPr="00E91AB1" w:rsidRDefault="00174ED5" w:rsidP="00977420">
            <w:pPr>
              <w:pStyle w:val="ListParagraph"/>
              <w:framePr w:hSpace="0" w:wrap="auto" w:vAnchor="margin" w:hAnchor="text" w:yAlign="inline"/>
            </w:pPr>
            <w:r>
              <w:t>Excellent</w:t>
            </w:r>
            <w:r w:rsidR="00424F06">
              <w:t xml:space="preserve"> </w:t>
            </w:r>
            <w:r w:rsidR="00B02C26">
              <w:t>customer service</w:t>
            </w:r>
            <w:r>
              <w:t xml:space="preserve"> skills</w:t>
            </w:r>
            <w:r w:rsidR="00B02C26">
              <w:t>.</w:t>
            </w:r>
            <w:r w:rsidR="00B02C26" w:rsidRPr="00E91AB1">
              <w:t xml:space="preserve"> </w:t>
            </w:r>
          </w:p>
          <w:p w14:paraId="5E45A512" w14:textId="4D42B7CD" w:rsidR="00B02C26" w:rsidRPr="00E91AB1" w:rsidRDefault="00B02C26" w:rsidP="00977420">
            <w:pPr>
              <w:pStyle w:val="ListParagraph"/>
              <w:framePr w:hSpace="0" w:wrap="auto" w:vAnchor="margin" w:hAnchor="text" w:yAlign="inline"/>
            </w:pPr>
            <w:r>
              <w:t xml:space="preserve">Experience of working in a membership </w:t>
            </w:r>
            <w:proofErr w:type="spellStart"/>
            <w:r>
              <w:t>organisation</w:t>
            </w:r>
            <w:proofErr w:type="spellEnd"/>
            <w:r>
              <w:t xml:space="preserve">, student, </w:t>
            </w:r>
            <w:proofErr w:type="gramStart"/>
            <w:r>
              <w:t>alumni</w:t>
            </w:r>
            <w:proofErr w:type="gramEnd"/>
            <w:r>
              <w:t xml:space="preserve"> or customer facing role. </w:t>
            </w:r>
          </w:p>
          <w:p w14:paraId="30DA81E0" w14:textId="40C5E134" w:rsidR="00B02C26" w:rsidRDefault="00B02C26" w:rsidP="00977420">
            <w:pPr>
              <w:pStyle w:val="ListParagraph"/>
              <w:framePr w:hSpace="0" w:wrap="auto" w:vAnchor="margin" w:hAnchor="text" w:yAlign="inline"/>
            </w:pPr>
            <w:r w:rsidRPr="00E91AB1">
              <w:t xml:space="preserve">Good project management skills. </w:t>
            </w:r>
          </w:p>
          <w:p w14:paraId="025D6541" w14:textId="63FBA5DD" w:rsidR="00BA02B6" w:rsidRPr="00E91AB1" w:rsidRDefault="00BA02B6" w:rsidP="00977420">
            <w:pPr>
              <w:pStyle w:val="ListParagraph"/>
              <w:framePr w:hSpace="0" w:wrap="auto" w:vAnchor="margin" w:hAnchor="text" w:yAlign="inline"/>
            </w:pPr>
            <w:r>
              <w:t xml:space="preserve">Experience of navigating </w:t>
            </w:r>
            <w:proofErr w:type="spellStart"/>
            <w:r>
              <w:t>organisational</w:t>
            </w:r>
            <w:proofErr w:type="spellEnd"/>
            <w:r>
              <w:t xml:space="preserve"> platforms and systems</w:t>
            </w:r>
          </w:p>
          <w:p w14:paraId="5E173538" w14:textId="4D54611E" w:rsidR="00977420" w:rsidRDefault="00B02C26" w:rsidP="00977420">
            <w:pPr>
              <w:pStyle w:val="ListParagraph"/>
              <w:framePr w:hSpace="0" w:wrap="auto" w:vAnchor="margin" w:hAnchor="text" w:yAlign="inline"/>
            </w:pPr>
            <w:r w:rsidRPr="00E91AB1">
              <w:t xml:space="preserve">Excellent </w:t>
            </w:r>
            <w:proofErr w:type="spellStart"/>
            <w:r w:rsidRPr="00E91AB1">
              <w:t>organisational</w:t>
            </w:r>
            <w:proofErr w:type="spellEnd"/>
            <w:r w:rsidRPr="00E91AB1">
              <w:t xml:space="preserve"> skills and meticulous attention to detail. </w:t>
            </w:r>
          </w:p>
          <w:p w14:paraId="391EA8D8" w14:textId="6E0947F2" w:rsidR="00977420" w:rsidRPr="00E91AB1" w:rsidRDefault="00977420" w:rsidP="00977420">
            <w:pPr>
              <w:pStyle w:val="ListParagraph"/>
              <w:framePr w:hSpace="0" w:wrap="auto" w:vAnchor="margin" w:hAnchor="text" w:yAlign="inline"/>
            </w:pPr>
            <w:r>
              <w:t>Good data management skills.</w:t>
            </w:r>
          </w:p>
          <w:p w14:paraId="48D16C79" w14:textId="2D872E8E" w:rsidR="00B02C26" w:rsidRPr="00E91AB1" w:rsidRDefault="00B02C26" w:rsidP="00977420">
            <w:pPr>
              <w:pStyle w:val="ListParagraph"/>
              <w:framePr w:hSpace="0" w:wrap="auto" w:vAnchor="margin" w:hAnchor="text" w:yAlign="inline"/>
            </w:pPr>
            <w:r w:rsidRPr="00E91AB1">
              <w:t xml:space="preserve">Strong analytical and </w:t>
            </w:r>
            <w:r w:rsidR="00BA02B6" w:rsidRPr="00E91AB1">
              <w:t>problem-solving</w:t>
            </w:r>
            <w:r w:rsidRPr="00E91AB1">
              <w:t xml:space="preserve"> skills. </w:t>
            </w:r>
          </w:p>
          <w:p w14:paraId="253B42AA" w14:textId="77777777" w:rsidR="00B02C26" w:rsidRPr="00E91AB1" w:rsidRDefault="00B02C26" w:rsidP="00977420">
            <w:pPr>
              <w:pStyle w:val="ListParagraph"/>
              <w:framePr w:hSpace="0" w:wrap="auto" w:vAnchor="margin" w:hAnchor="text" w:yAlign="inline"/>
            </w:pPr>
            <w:r w:rsidRPr="00E91AB1">
              <w:t xml:space="preserve">Experience managing a wide range of stakeholders. </w:t>
            </w:r>
          </w:p>
          <w:p w14:paraId="6D792C07" w14:textId="77777777" w:rsidR="00B02C26" w:rsidRDefault="00B02C26" w:rsidP="00977420">
            <w:pPr>
              <w:pStyle w:val="ListParagraph"/>
              <w:framePr w:hSpace="0" w:wrap="auto" w:vAnchor="margin" w:hAnchor="text" w:yAlign="inline"/>
            </w:pPr>
            <w:r w:rsidRPr="00E91AB1">
              <w:t>Ability to identify process improvements</w:t>
            </w:r>
          </w:p>
          <w:p w14:paraId="5C9AF231" w14:textId="77777777" w:rsidR="00B02C26" w:rsidRPr="00E91AB1" w:rsidRDefault="00B02C26" w:rsidP="00977420">
            <w:pPr>
              <w:pStyle w:val="ListParagraph"/>
              <w:framePr w:hSpace="0" w:wrap="auto" w:vAnchor="margin" w:hAnchor="text" w:yAlign="inline"/>
            </w:pPr>
            <w:r>
              <w:t>Proven experience of delivering to customer expectations</w:t>
            </w:r>
          </w:p>
          <w:p w14:paraId="3F4A2023" w14:textId="77777777" w:rsidR="00B02C26" w:rsidRDefault="00B02C26" w:rsidP="00977420">
            <w:pPr>
              <w:pStyle w:val="ListParagraph"/>
              <w:framePr w:hSpace="0" w:wrap="auto" w:vAnchor="margin" w:hAnchor="text" w:yAlign="inline"/>
            </w:pPr>
            <w:r w:rsidRPr="00E91AB1">
              <w:t>Proven commitment to self-development</w:t>
            </w:r>
          </w:p>
          <w:p w14:paraId="19BFAC7E" w14:textId="77777777" w:rsidR="00B02C26" w:rsidRPr="005D5B11" w:rsidRDefault="00B02C26" w:rsidP="00977420">
            <w:pPr>
              <w:pStyle w:val="ListParagraph"/>
              <w:framePr w:hSpace="0" w:wrap="auto" w:vAnchor="margin" w:hAnchor="text" w:yAlign="inline"/>
            </w:pPr>
            <w:r>
              <w:t xml:space="preserve">Positive, solution focused attitude </w:t>
            </w:r>
          </w:p>
        </w:tc>
      </w:tr>
    </w:tbl>
    <w:p w14:paraId="1CFFF8C3" w14:textId="67B46A33" w:rsidR="00DE3DB1" w:rsidRDefault="00DE3DB1" w:rsidP="00B80D24"/>
    <w:p w14:paraId="0F5B1C65" w14:textId="398155A6" w:rsidR="00FF1FFB" w:rsidRDefault="00FF1FFB" w:rsidP="00B80D24"/>
    <w:p w14:paraId="4478DEC6" w14:textId="6C072001" w:rsidR="00FF1FFB" w:rsidRDefault="00FF1FFB" w:rsidP="00B80D24"/>
    <w:p w14:paraId="6863AA8A" w14:textId="52926ACA" w:rsidR="00FF1FFB" w:rsidRDefault="00FF1FFB" w:rsidP="00B80D24"/>
    <w:p w14:paraId="5617AE7C" w14:textId="658DA27C" w:rsidR="00FF1FFB" w:rsidRDefault="00FF1FFB" w:rsidP="00B80D24"/>
    <w:p w14:paraId="059F6E47" w14:textId="77777777" w:rsidR="00FF1FFB" w:rsidRDefault="00FF1FFB" w:rsidP="00B80D24"/>
    <w:p w14:paraId="4D3527F8" w14:textId="77777777" w:rsidR="00DE3DB1" w:rsidRDefault="00DE3DB1" w:rsidP="00B80D24"/>
    <w:p w14:paraId="3324BB26" w14:textId="77777777" w:rsidR="00E91AB1" w:rsidRDefault="00E91AB1" w:rsidP="00B80D24"/>
    <w:tbl>
      <w:tblPr>
        <w:tblStyle w:val="TableGrid"/>
        <w:tblpPr w:leftFromText="180" w:rightFromText="180" w:vertAnchor="text" w:horzAnchor="margin" w:tblpY="2086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D5B11" w14:paraId="1665FE93" w14:textId="77777777" w:rsidTr="00C312E6">
        <w:trPr>
          <w:trHeight w:val="416"/>
        </w:trPr>
        <w:tc>
          <w:tcPr>
            <w:tcW w:w="8897" w:type="dxa"/>
            <w:shd w:val="clear" w:color="auto" w:fill="001E62"/>
          </w:tcPr>
          <w:p w14:paraId="5904560C" w14:textId="77777777" w:rsidR="005D5B11" w:rsidRPr="00B80D24" w:rsidRDefault="005D5B11" w:rsidP="00C312E6">
            <w:pPr>
              <w:rPr>
                <w:rFonts w:ascii="GT Sectra Fine BoldStd" w:hAnsi="GT Sectra Fine BoldSt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Resources including team management </w:t>
            </w:r>
          </w:p>
        </w:tc>
      </w:tr>
      <w:tr w:rsidR="005D5B11" w14:paraId="072CF96F" w14:textId="77777777" w:rsidTr="00C312E6">
        <w:trPr>
          <w:trHeight w:val="1086"/>
        </w:trPr>
        <w:tc>
          <w:tcPr>
            <w:tcW w:w="8897" w:type="dxa"/>
          </w:tcPr>
          <w:p w14:paraId="61E41CAD" w14:textId="77777777" w:rsidR="005D5B11" w:rsidRPr="001E4552" w:rsidRDefault="247E7D89" w:rsidP="00A110A8">
            <w:pPr>
              <w:pStyle w:val="ListParagraph"/>
              <w:framePr w:hSpace="0" w:wrap="auto" w:vAnchor="margin" w:hAnchor="text" w:yAlign="inline"/>
            </w:pPr>
            <w:r>
              <w:t xml:space="preserve">No line management </w:t>
            </w:r>
            <w:proofErr w:type="gramStart"/>
            <w:r>
              <w:t>at this time</w:t>
            </w:r>
            <w:proofErr w:type="gramEnd"/>
            <w:r>
              <w:t>.</w:t>
            </w:r>
          </w:p>
        </w:tc>
      </w:tr>
    </w:tbl>
    <w:p w14:paraId="232C79F9" w14:textId="77777777" w:rsidR="00E91AB1" w:rsidRDefault="00E91AB1" w:rsidP="00B80D24"/>
    <w:p w14:paraId="7C4FFEC6" w14:textId="77777777" w:rsidR="00E91AB1" w:rsidRDefault="00E91AB1" w:rsidP="00B80D24"/>
    <w:p w14:paraId="23EDF069" w14:textId="77777777" w:rsidR="00E91AB1" w:rsidRDefault="00E91AB1" w:rsidP="00B80D24"/>
    <w:tbl>
      <w:tblPr>
        <w:tblStyle w:val="TableGrid"/>
        <w:tblpPr w:leftFromText="180" w:rightFromText="180" w:vertAnchor="text" w:horzAnchor="margin" w:tblpY="243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E91AB1" w14:paraId="4D2851C0" w14:textId="77777777" w:rsidTr="00C312E6">
        <w:trPr>
          <w:trHeight w:val="482"/>
        </w:trPr>
        <w:tc>
          <w:tcPr>
            <w:tcW w:w="2263" w:type="dxa"/>
            <w:shd w:val="clear" w:color="auto" w:fill="001E62"/>
          </w:tcPr>
          <w:p w14:paraId="7A2CB6FF" w14:textId="77777777" w:rsidR="00E91AB1" w:rsidRPr="00B80D24" w:rsidRDefault="00E91AB1" w:rsidP="00C312E6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6663" w:type="dxa"/>
          </w:tcPr>
          <w:p w14:paraId="20754016" w14:textId="6255DBF5" w:rsidR="00E91AB1" w:rsidRPr="00B02C26" w:rsidRDefault="00E91AB1" w:rsidP="00C312E6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</w:p>
        </w:tc>
      </w:tr>
      <w:tr w:rsidR="00E91AB1" w14:paraId="5E30AA6B" w14:textId="77777777" w:rsidTr="00C312E6">
        <w:trPr>
          <w:trHeight w:val="482"/>
        </w:trPr>
        <w:tc>
          <w:tcPr>
            <w:tcW w:w="2263" w:type="dxa"/>
            <w:shd w:val="clear" w:color="auto" w:fill="001E62"/>
          </w:tcPr>
          <w:p w14:paraId="1ED510B6" w14:textId="77777777" w:rsidR="00E91AB1" w:rsidRPr="00B80D24" w:rsidRDefault="00E91AB1" w:rsidP="00C312E6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6663" w:type="dxa"/>
          </w:tcPr>
          <w:p w14:paraId="6EEEE769" w14:textId="2B7C8061" w:rsidR="00E91AB1" w:rsidRPr="00B02C26" w:rsidRDefault="00E91AB1" w:rsidP="00C312E6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</w:p>
        </w:tc>
      </w:tr>
      <w:tr w:rsidR="00E91AB1" w14:paraId="5171E0A7" w14:textId="77777777" w:rsidTr="00C312E6">
        <w:trPr>
          <w:trHeight w:val="482"/>
        </w:trPr>
        <w:tc>
          <w:tcPr>
            <w:tcW w:w="2263" w:type="dxa"/>
            <w:shd w:val="clear" w:color="auto" w:fill="001E62"/>
          </w:tcPr>
          <w:p w14:paraId="0C06ADB4" w14:textId="77777777" w:rsidR="00E91AB1" w:rsidRPr="00B80D24" w:rsidRDefault="00E91AB1" w:rsidP="00C312E6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6663" w:type="dxa"/>
          </w:tcPr>
          <w:p w14:paraId="77429C44" w14:textId="33EBECD8" w:rsidR="00E91AB1" w:rsidRPr="00B02C26" w:rsidRDefault="0013099C" w:rsidP="00C312E6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  <w:t>17 January 2024</w:t>
            </w:r>
          </w:p>
        </w:tc>
      </w:tr>
    </w:tbl>
    <w:p w14:paraId="18C43B90" w14:textId="77777777" w:rsidR="00E91AB1" w:rsidRDefault="00E91AB1" w:rsidP="00B80D24"/>
    <w:p w14:paraId="3B2DD56F" w14:textId="77777777" w:rsidR="00E91AB1" w:rsidRDefault="00E91AB1" w:rsidP="00B80D24"/>
    <w:p w14:paraId="6861E029" w14:textId="77777777" w:rsidR="00E91AB1" w:rsidRPr="00B80D24" w:rsidRDefault="00E91AB1" w:rsidP="00B80D24"/>
    <w:sectPr w:rsidR="00E91AB1" w:rsidRPr="00B80D24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F952" w14:textId="77777777" w:rsidR="002F38FF" w:rsidRDefault="002F38FF" w:rsidP="006E667B">
      <w:r>
        <w:separator/>
      </w:r>
    </w:p>
    <w:p w14:paraId="6B0F88BE" w14:textId="77777777" w:rsidR="002F38FF" w:rsidRDefault="002F38FF" w:rsidP="006E667B"/>
    <w:p w14:paraId="4DFDC594" w14:textId="77777777" w:rsidR="002F38FF" w:rsidRDefault="002F38FF" w:rsidP="006E667B"/>
  </w:endnote>
  <w:endnote w:type="continuationSeparator" w:id="0">
    <w:p w14:paraId="3A3F5380" w14:textId="77777777" w:rsidR="002F38FF" w:rsidRDefault="002F38FF" w:rsidP="006E667B">
      <w:r>
        <w:continuationSeparator/>
      </w:r>
    </w:p>
    <w:p w14:paraId="2A732AB2" w14:textId="77777777" w:rsidR="002F38FF" w:rsidRDefault="002F38FF" w:rsidP="006E667B"/>
    <w:p w14:paraId="1F39B64C" w14:textId="77777777" w:rsidR="002F38FF" w:rsidRDefault="002F38FF" w:rsidP="006E667B"/>
  </w:endnote>
  <w:endnote w:type="continuationNotice" w:id="1">
    <w:p w14:paraId="73A2B3BA" w14:textId="77777777" w:rsidR="002F38FF" w:rsidRDefault="002F3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378D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342C5">
      <w:rPr>
        <w:noProof/>
      </w:rPr>
      <w:t>2</w:t>
    </w:r>
    <w:r>
      <w:rPr>
        <w:noProof/>
      </w:rPr>
      <w:fldChar w:fldCharType="end"/>
    </w:r>
  </w:p>
  <w:p w14:paraId="5A30F8E8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1A7B" w14:textId="77777777" w:rsidR="002F38FF" w:rsidRDefault="002F38FF" w:rsidP="006E667B">
      <w:r>
        <w:separator/>
      </w:r>
    </w:p>
    <w:p w14:paraId="48C7C610" w14:textId="77777777" w:rsidR="002F38FF" w:rsidRDefault="002F38FF" w:rsidP="006E667B"/>
    <w:p w14:paraId="33062470" w14:textId="77777777" w:rsidR="002F38FF" w:rsidRDefault="002F38FF" w:rsidP="006E667B"/>
  </w:footnote>
  <w:footnote w:type="continuationSeparator" w:id="0">
    <w:p w14:paraId="4C26CF71" w14:textId="77777777" w:rsidR="002F38FF" w:rsidRDefault="002F38FF" w:rsidP="006E667B">
      <w:r>
        <w:continuationSeparator/>
      </w:r>
    </w:p>
    <w:p w14:paraId="07F10EED" w14:textId="77777777" w:rsidR="002F38FF" w:rsidRDefault="002F38FF" w:rsidP="006E667B"/>
    <w:p w14:paraId="45D64AA7" w14:textId="77777777" w:rsidR="002F38FF" w:rsidRDefault="002F38FF" w:rsidP="006E667B"/>
  </w:footnote>
  <w:footnote w:type="continuationNotice" w:id="1">
    <w:p w14:paraId="554FDA8E" w14:textId="77777777" w:rsidR="002F38FF" w:rsidRDefault="002F3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4749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1836F7CD" wp14:editId="0FCD20CF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65E2719E" w14:textId="77777777" w:rsidR="00A26F3D" w:rsidRDefault="00A26F3D">
    <w:pPr>
      <w:pStyle w:val="Header"/>
    </w:pPr>
  </w:p>
  <w:p w14:paraId="3B2D99C8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530249F"/>
    <w:multiLevelType w:val="hybridMultilevel"/>
    <w:tmpl w:val="4EBA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579"/>
    <w:multiLevelType w:val="hybridMultilevel"/>
    <w:tmpl w:val="07744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123F2"/>
    <w:multiLevelType w:val="hybridMultilevel"/>
    <w:tmpl w:val="9616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63C1E"/>
    <w:multiLevelType w:val="hybridMultilevel"/>
    <w:tmpl w:val="FAAE8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B617B"/>
    <w:multiLevelType w:val="hybridMultilevel"/>
    <w:tmpl w:val="EF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81F9F"/>
    <w:multiLevelType w:val="hybridMultilevel"/>
    <w:tmpl w:val="AFF49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42D0A"/>
    <w:multiLevelType w:val="hybridMultilevel"/>
    <w:tmpl w:val="CE0C28B8"/>
    <w:lvl w:ilvl="0" w:tplc="9028FAD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94741"/>
    <w:multiLevelType w:val="hybridMultilevel"/>
    <w:tmpl w:val="31FA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75744"/>
    <w:multiLevelType w:val="hybridMultilevel"/>
    <w:tmpl w:val="438245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1012B"/>
    <w:multiLevelType w:val="hybridMultilevel"/>
    <w:tmpl w:val="58A42504"/>
    <w:lvl w:ilvl="0" w:tplc="64380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84B66"/>
    <w:multiLevelType w:val="hybridMultilevel"/>
    <w:tmpl w:val="8FD0B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16258"/>
    <w:multiLevelType w:val="hybridMultilevel"/>
    <w:tmpl w:val="02AE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98694A"/>
    <w:multiLevelType w:val="hybridMultilevel"/>
    <w:tmpl w:val="915E7096"/>
    <w:lvl w:ilvl="0" w:tplc="BBCAD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E7262"/>
    <w:multiLevelType w:val="hybridMultilevel"/>
    <w:tmpl w:val="788E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4BB94419"/>
    <w:multiLevelType w:val="hybridMultilevel"/>
    <w:tmpl w:val="7C0EB5E8"/>
    <w:lvl w:ilvl="0" w:tplc="03AE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30505"/>
    <w:multiLevelType w:val="hybridMultilevel"/>
    <w:tmpl w:val="E8F0F77C"/>
    <w:lvl w:ilvl="0" w:tplc="D50CE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1C13E4"/>
    <w:multiLevelType w:val="hybridMultilevel"/>
    <w:tmpl w:val="AC524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B048B"/>
    <w:multiLevelType w:val="hybridMultilevel"/>
    <w:tmpl w:val="ECB44E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F2D54"/>
    <w:multiLevelType w:val="hybridMultilevel"/>
    <w:tmpl w:val="267CDDA6"/>
    <w:lvl w:ilvl="0" w:tplc="DDAA7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70B9D"/>
    <w:multiLevelType w:val="hybridMultilevel"/>
    <w:tmpl w:val="E752F204"/>
    <w:lvl w:ilvl="0" w:tplc="3C40D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6B50BD"/>
    <w:multiLevelType w:val="hybridMultilevel"/>
    <w:tmpl w:val="4E06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7C409E"/>
    <w:multiLevelType w:val="hybridMultilevel"/>
    <w:tmpl w:val="6CD6E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7420EE"/>
    <w:multiLevelType w:val="hybridMultilevel"/>
    <w:tmpl w:val="2378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4420">
    <w:abstractNumId w:val="17"/>
  </w:num>
  <w:num w:numId="2" w16cid:durableId="970137871">
    <w:abstractNumId w:val="0"/>
  </w:num>
  <w:num w:numId="3" w16cid:durableId="536894141">
    <w:abstractNumId w:val="1"/>
  </w:num>
  <w:num w:numId="4" w16cid:durableId="1991009864">
    <w:abstractNumId w:val="2"/>
  </w:num>
  <w:num w:numId="5" w16cid:durableId="1666277103">
    <w:abstractNumId w:val="18"/>
  </w:num>
  <w:num w:numId="6" w16cid:durableId="1591354537">
    <w:abstractNumId w:val="23"/>
  </w:num>
  <w:num w:numId="7" w16cid:durableId="1912422642">
    <w:abstractNumId w:val="13"/>
  </w:num>
  <w:num w:numId="8" w16cid:durableId="839270021">
    <w:abstractNumId w:val="7"/>
  </w:num>
  <w:num w:numId="9" w16cid:durableId="2111579665">
    <w:abstractNumId w:val="6"/>
  </w:num>
  <w:num w:numId="10" w16cid:durableId="2097361554">
    <w:abstractNumId w:val="26"/>
  </w:num>
  <w:num w:numId="11" w16cid:durableId="1744142115">
    <w:abstractNumId w:val="10"/>
  </w:num>
  <w:num w:numId="12" w16cid:durableId="20862304">
    <w:abstractNumId w:val="4"/>
  </w:num>
  <w:num w:numId="13" w16cid:durableId="383414553">
    <w:abstractNumId w:val="5"/>
  </w:num>
  <w:num w:numId="14" w16cid:durableId="58335291">
    <w:abstractNumId w:val="27"/>
  </w:num>
  <w:num w:numId="15" w16cid:durableId="1835757704">
    <w:abstractNumId w:val="15"/>
  </w:num>
  <w:num w:numId="16" w16cid:durableId="1474561319">
    <w:abstractNumId w:val="8"/>
  </w:num>
  <w:num w:numId="17" w16cid:durableId="967510635">
    <w:abstractNumId w:val="25"/>
  </w:num>
  <w:num w:numId="18" w16cid:durableId="1644457415">
    <w:abstractNumId w:val="16"/>
  </w:num>
  <w:num w:numId="19" w16cid:durableId="346910473">
    <w:abstractNumId w:val="12"/>
  </w:num>
  <w:num w:numId="20" w16cid:durableId="2078937885">
    <w:abstractNumId w:val="20"/>
  </w:num>
  <w:num w:numId="21" w16cid:durableId="605037178">
    <w:abstractNumId w:val="9"/>
  </w:num>
  <w:num w:numId="22" w16cid:durableId="820124966">
    <w:abstractNumId w:val="14"/>
  </w:num>
  <w:num w:numId="23" w16cid:durableId="808715708">
    <w:abstractNumId w:val="19"/>
  </w:num>
  <w:num w:numId="24" w16cid:durableId="1891116098">
    <w:abstractNumId w:val="24"/>
  </w:num>
  <w:num w:numId="25" w16cid:durableId="709457098">
    <w:abstractNumId w:val="21"/>
  </w:num>
  <w:num w:numId="26" w16cid:durableId="946816548">
    <w:abstractNumId w:val="11"/>
  </w:num>
  <w:num w:numId="27" w16cid:durableId="1417438745">
    <w:abstractNumId w:val="18"/>
  </w:num>
  <w:num w:numId="28" w16cid:durableId="30497366">
    <w:abstractNumId w:val="18"/>
  </w:num>
  <w:num w:numId="29" w16cid:durableId="1114447543">
    <w:abstractNumId w:val="18"/>
  </w:num>
  <w:num w:numId="30" w16cid:durableId="1482312641">
    <w:abstractNumId w:val="22"/>
  </w:num>
  <w:num w:numId="31" w16cid:durableId="192468216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0778D"/>
    <w:rsid w:val="00020C60"/>
    <w:rsid w:val="000321BD"/>
    <w:rsid w:val="00040C2F"/>
    <w:rsid w:val="00041164"/>
    <w:rsid w:val="00050256"/>
    <w:rsid w:val="00055CED"/>
    <w:rsid w:val="00065AD3"/>
    <w:rsid w:val="00081B45"/>
    <w:rsid w:val="00085266"/>
    <w:rsid w:val="00092C16"/>
    <w:rsid w:val="0009739A"/>
    <w:rsid w:val="000A4D1E"/>
    <w:rsid w:val="000B4D06"/>
    <w:rsid w:val="00126D78"/>
    <w:rsid w:val="0013099C"/>
    <w:rsid w:val="00132B02"/>
    <w:rsid w:val="00135A83"/>
    <w:rsid w:val="0014703C"/>
    <w:rsid w:val="00157DA6"/>
    <w:rsid w:val="001615F7"/>
    <w:rsid w:val="00174ED5"/>
    <w:rsid w:val="00176E20"/>
    <w:rsid w:val="001A0920"/>
    <w:rsid w:val="001A26D5"/>
    <w:rsid w:val="001C194F"/>
    <w:rsid w:val="001C3008"/>
    <w:rsid w:val="001E4552"/>
    <w:rsid w:val="001E50B7"/>
    <w:rsid w:val="00202BC6"/>
    <w:rsid w:val="0021419C"/>
    <w:rsid w:val="0023349D"/>
    <w:rsid w:val="00293801"/>
    <w:rsid w:val="002C70BB"/>
    <w:rsid w:val="002D2513"/>
    <w:rsid w:val="002E37B2"/>
    <w:rsid w:val="002F2A4A"/>
    <w:rsid w:val="002F38FF"/>
    <w:rsid w:val="003069F7"/>
    <w:rsid w:val="00362FF7"/>
    <w:rsid w:val="003653E7"/>
    <w:rsid w:val="0036781E"/>
    <w:rsid w:val="0039778B"/>
    <w:rsid w:val="003B6A62"/>
    <w:rsid w:val="003C577E"/>
    <w:rsid w:val="00423B18"/>
    <w:rsid w:val="00424F06"/>
    <w:rsid w:val="0042642B"/>
    <w:rsid w:val="0045004F"/>
    <w:rsid w:val="004502CB"/>
    <w:rsid w:val="00464CA7"/>
    <w:rsid w:val="0047063A"/>
    <w:rsid w:val="004B4B46"/>
    <w:rsid w:val="004D3DC5"/>
    <w:rsid w:val="004E49B8"/>
    <w:rsid w:val="005167C9"/>
    <w:rsid w:val="00525269"/>
    <w:rsid w:val="00532E51"/>
    <w:rsid w:val="00540AB3"/>
    <w:rsid w:val="00546A3D"/>
    <w:rsid w:val="00547738"/>
    <w:rsid w:val="00552434"/>
    <w:rsid w:val="00574F96"/>
    <w:rsid w:val="00575995"/>
    <w:rsid w:val="005A3827"/>
    <w:rsid w:val="005D5B11"/>
    <w:rsid w:val="005E0038"/>
    <w:rsid w:val="005E11BF"/>
    <w:rsid w:val="005E3AD9"/>
    <w:rsid w:val="005F283F"/>
    <w:rsid w:val="00643AD8"/>
    <w:rsid w:val="00670EE5"/>
    <w:rsid w:val="0067240E"/>
    <w:rsid w:val="00674BE0"/>
    <w:rsid w:val="006A1D67"/>
    <w:rsid w:val="006A232E"/>
    <w:rsid w:val="006A3A4D"/>
    <w:rsid w:val="006B2235"/>
    <w:rsid w:val="006D336C"/>
    <w:rsid w:val="006E667B"/>
    <w:rsid w:val="006F20E8"/>
    <w:rsid w:val="00701319"/>
    <w:rsid w:val="0072272E"/>
    <w:rsid w:val="00722A08"/>
    <w:rsid w:val="0072596A"/>
    <w:rsid w:val="00732970"/>
    <w:rsid w:val="0073305F"/>
    <w:rsid w:val="007342C5"/>
    <w:rsid w:val="00740553"/>
    <w:rsid w:val="007446CB"/>
    <w:rsid w:val="007902D4"/>
    <w:rsid w:val="007C0739"/>
    <w:rsid w:val="007E7814"/>
    <w:rsid w:val="007E7A62"/>
    <w:rsid w:val="007F0246"/>
    <w:rsid w:val="007F03E6"/>
    <w:rsid w:val="00813F2A"/>
    <w:rsid w:val="00840C66"/>
    <w:rsid w:val="00847C3C"/>
    <w:rsid w:val="0086232B"/>
    <w:rsid w:val="00894434"/>
    <w:rsid w:val="008A0D70"/>
    <w:rsid w:val="008C1B59"/>
    <w:rsid w:val="008D1F82"/>
    <w:rsid w:val="008D2120"/>
    <w:rsid w:val="008E5181"/>
    <w:rsid w:val="008F769B"/>
    <w:rsid w:val="008F7718"/>
    <w:rsid w:val="00905369"/>
    <w:rsid w:val="0094275B"/>
    <w:rsid w:val="009428DD"/>
    <w:rsid w:val="0094749E"/>
    <w:rsid w:val="00973853"/>
    <w:rsid w:val="00977420"/>
    <w:rsid w:val="009A6D19"/>
    <w:rsid w:val="009B4FDE"/>
    <w:rsid w:val="009D5D96"/>
    <w:rsid w:val="009D7EA3"/>
    <w:rsid w:val="009F5B72"/>
    <w:rsid w:val="00A110A8"/>
    <w:rsid w:val="00A26F3D"/>
    <w:rsid w:val="00A60D20"/>
    <w:rsid w:val="00A9308A"/>
    <w:rsid w:val="00AA33C8"/>
    <w:rsid w:val="00B02C26"/>
    <w:rsid w:val="00B25F0E"/>
    <w:rsid w:val="00B312C6"/>
    <w:rsid w:val="00B638A8"/>
    <w:rsid w:val="00B80D24"/>
    <w:rsid w:val="00B86E48"/>
    <w:rsid w:val="00BA02B6"/>
    <w:rsid w:val="00BA5781"/>
    <w:rsid w:val="00BC7AD4"/>
    <w:rsid w:val="00BE1CFC"/>
    <w:rsid w:val="00BF0194"/>
    <w:rsid w:val="00C161B9"/>
    <w:rsid w:val="00C312E6"/>
    <w:rsid w:val="00C36640"/>
    <w:rsid w:val="00C56F98"/>
    <w:rsid w:val="00C841B5"/>
    <w:rsid w:val="00C94668"/>
    <w:rsid w:val="00C965ED"/>
    <w:rsid w:val="00CA08A2"/>
    <w:rsid w:val="00CA610F"/>
    <w:rsid w:val="00CB4DCE"/>
    <w:rsid w:val="00CD15A8"/>
    <w:rsid w:val="00CF1B0D"/>
    <w:rsid w:val="00D01F88"/>
    <w:rsid w:val="00D1609E"/>
    <w:rsid w:val="00D16978"/>
    <w:rsid w:val="00D2280D"/>
    <w:rsid w:val="00D27F39"/>
    <w:rsid w:val="00D53881"/>
    <w:rsid w:val="00D67411"/>
    <w:rsid w:val="00D83DE5"/>
    <w:rsid w:val="00D85467"/>
    <w:rsid w:val="00D9065E"/>
    <w:rsid w:val="00D925F7"/>
    <w:rsid w:val="00DA21F2"/>
    <w:rsid w:val="00DC1C64"/>
    <w:rsid w:val="00DC36F9"/>
    <w:rsid w:val="00DE0AFB"/>
    <w:rsid w:val="00DE3DB1"/>
    <w:rsid w:val="00E15303"/>
    <w:rsid w:val="00E24033"/>
    <w:rsid w:val="00E35E46"/>
    <w:rsid w:val="00E40805"/>
    <w:rsid w:val="00E61105"/>
    <w:rsid w:val="00E91AB1"/>
    <w:rsid w:val="00EB135C"/>
    <w:rsid w:val="00EB2220"/>
    <w:rsid w:val="00ED4358"/>
    <w:rsid w:val="00F13B28"/>
    <w:rsid w:val="00F20787"/>
    <w:rsid w:val="00F25A66"/>
    <w:rsid w:val="00FA6EC2"/>
    <w:rsid w:val="00FC36DC"/>
    <w:rsid w:val="00FF1FFB"/>
    <w:rsid w:val="00FF589D"/>
    <w:rsid w:val="02204C9D"/>
    <w:rsid w:val="04BE81EB"/>
    <w:rsid w:val="0ACBAC8C"/>
    <w:rsid w:val="0CBAF1D6"/>
    <w:rsid w:val="0EF5DADA"/>
    <w:rsid w:val="10A28D8C"/>
    <w:rsid w:val="1A6F2DA3"/>
    <w:rsid w:val="1FA470F3"/>
    <w:rsid w:val="2110E5F2"/>
    <w:rsid w:val="247E7D89"/>
    <w:rsid w:val="2633F627"/>
    <w:rsid w:val="2B067EB7"/>
    <w:rsid w:val="2B9958A5"/>
    <w:rsid w:val="2F8B0C76"/>
    <w:rsid w:val="31120C6B"/>
    <w:rsid w:val="36C55905"/>
    <w:rsid w:val="4E6D879C"/>
    <w:rsid w:val="597BAB20"/>
    <w:rsid w:val="5F96C26E"/>
    <w:rsid w:val="640EEAB9"/>
    <w:rsid w:val="6770F4DC"/>
    <w:rsid w:val="69C844CE"/>
    <w:rsid w:val="720129FD"/>
    <w:rsid w:val="7D591BAE"/>
    <w:rsid w:val="7D8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89DA2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977420"/>
    <w:pPr>
      <w:framePr w:hSpace="180" w:wrap="around" w:vAnchor="text" w:hAnchor="margin" w:y="1652"/>
      <w:numPr>
        <w:numId w:val="21"/>
      </w:numPr>
      <w:spacing w:after="200" w:line="276" w:lineRule="auto"/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C36640"/>
    <w:pPr>
      <w:spacing w:after="0" w:line="240" w:lineRule="auto"/>
      <w:ind w:left="0"/>
    </w:pPr>
    <w:rPr>
      <w:rFonts w:ascii="Arial" w:hAnsi="Arial"/>
      <w:color w:val="001E6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3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A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A4D"/>
    <w:rPr>
      <w:rFonts w:ascii="Arial" w:hAnsi="Arial"/>
      <w:color w:val="001E6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A4D"/>
    <w:rPr>
      <w:rFonts w:ascii="Arial" w:hAnsi="Arial"/>
      <w:b/>
      <w:bCs/>
      <w:color w:val="001E6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4D"/>
    <w:rPr>
      <w:rFonts w:ascii="Segoe UI" w:hAnsi="Segoe UI" w:cs="Segoe UI"/>
      <w:color w:val="001E6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82AB12EEF7D4A974906A2953F61F0" ma:contentTypeVersion="19" ma:contentTypeDescription="Create a new document." ma:contentTypeScope="" ma:versionID="1b8195325a273d1162550e595fd0b119">
  <xsd:schema xmlns:xsd="http://www.w3.org/2001/XMLSchema" xmlns:xs="http://www.w3.org/2001/XMLSchema" xmlns:p="http://schemas.microsoft.com/office/2006/metadata/properties" xmlns:ns1="http://schemas.microsoft.com/sharepoint/v3" xmlns:ns3="8699a8b5-18f9-4cab-836a-013220c0a281" xmlns:ns4="480e1ea4-46d9-4221-b1cb-8f6a79fb44d6" targetNamespace="http://schemas.microsoft.com/office/2006/metadata/properties" ma:root="true" ma:fieldsID="cff32fba94f07d5199ddd92235b4d72e" ns1:_="" ns3:_="" ns4:_="">
    <xsd:import namespace="http://schemas.microsoft.com/sharepoint/v3"/>
    <xsd:import namespace="8699a8b5-18f9-4cab-836a-013220c0a281"/>
    <xsd:import namespace="480e1ea4-46d9-4221-b1cb-8f6a79fb44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9a8b5-18f9-4cab-836a-013220c0a2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e1ea4-46d9-4221-b1cb-8f6a79fb4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80e1ea4-46d9-4221-b1cb-8f6a79fb44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18EAD-BDB5-474C-96D8-76F88361C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99a8b5-18f9-4cab-836a-013220c0a281"/>
    <ds:schemaRef ds:uri="480e1ea4-46d9-4221-b1cb-8f6a79fb4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3EE4-168A-472E-A4CF-4514ECBAF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0e1ea4-46d9-4221-b1cb-8f6a79fb44d6"/>
  </ds:schemaRefs>
</ds:datastoreItem>
</file>

<file path=customXml/itemProps3.xml><?xml version="1.0" encoding="utf-8"?>
<ds:datastoreItem xmlns:ds="http://schemas.openxmlformats.org/officeDocument/2006/customXml" ds:itemID="{E1B69E89-574F-4D8D-8CD8-4BCAAFE3BE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55C6E-84B3-4BFE-AD8C-E40EB578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2024-01-18T15:13:00Z</dcterms:created>
  <dcterms:modified xsi:type="dcterms:W3CDTF">2024-01-18T15:13:00Z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0x0101001A982AB12EEF7D4A974906A2953F61F0</vt:lpwstr>
  </property>
</Properties>
</file>