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B5E4" w14:textId="77777777" w:rsidR="0050309E" w:rsidRDefault="0050309E">
      <w:pPr>
        <w:spacing w:before="100" w:after="100"/>
        <w:rPr>
          <w:rFonts w:ascii="Arial" w:hAnsi="Arial" w:cs="Arial"/>
          <w:color w:val="002060"/>
          <w:sz w:val="22"/>
          <w:szCs w:val="22"/>
          <w:lang w:val="en-GB"/>
        </w:rPr>
      </w:pPr>
    </w:p>
    <w:tbl>
      <w:tblPr>
        <w:tblW w:w="5920" w:type="dxa"/>
        <w:tblCellMar>
          <w:left w:w="10" w:type="dxa"/>
          <w:right w:w="10" w:type="dxa"/>
        </w:tblCellMar>
        <w:tblLook w:val="0000" w:firstRow="0" w:lastRow="0" w:firstColumn="0" w:lastColumn="0" w:noHBand="0" w:noVBand="0"/>
      </w:tblPr>
      <w:tblGrid>
        <w:gridCol w:w="1668"/>
        <w:gridCol w:w="1842"/>
        <w:gridCol w:w="993"/>
        <w:gridCol w:w="1417"/>
      </w:tblGrid>
      <w:tr w:rsidR="0050309E" w14:paraId="353E6348" w14:textId="77777777">
        <w:tblPrEx>
          <w:tblCellMar>
            <w:top w:w="0" w:type="dxa"/>
            <w:bottom w:w="0" w:type="dxa"/>
          </w:tblCellMar>
        </w:tblPrEx>
        <w:tc>
          <w:tcPr>
            <w:tcW w:w="1668" w:type="dxa"/>
            <w:tcBorders>
              <w:top w:val="single" w:sz="4" w:space="0" w:color="000000"/>
              <w:left w:val="single" w:sz="4" w:space="0" w:color="000000"/>
              <w:bottom w:val="single" w:sz="4" w:space="0" w:color="000000"/>
              <w:right w:val="single" w:sz="4" w:space="0" w:color="000000"/>
            </w:tcBorders>
            <w:shd w:val="clear" w:color="auto" w:fill="001E62"/>
            <w:tcMar>
              <w:top w:w="0" w:type="dxa"/>
              <w:left w:w="108" w:type="dxa"/>
              <w:bottom w:w="0" w:type="dxa"/>
              <w:right w:w="108" w:type="dxa"/>
            </w:tcMar>
          </w:tcPr>
          <w:p w14:paraId="12E8AFA4" w14:textId="77777777" w:rsidR="0050309E" w:rsidRDefault="00B717B1">
            <w:pPr>
              <w:spacing w:before="100" w:after="100"/>
              <w:rPr>
                <w:rFonts w:ascii="Arial" w:hAnsi="Arial" w:cs="Arial"/>
                <w:b/>
                <w:color w:val="FFFFFF"/>
              </w:rPr>
            </w:pPr>
            <w:r>
              <w:rPr>
                <w:rFonts w:ascii="Arial" w:hAnsi="Arial" w:cs="Arial"/>
                <w:b/>
                <w:color w:val="FFFFFF"/>
                <w:sz w:val="22"/>
                <w:szCs w:val="22"/>
              </w:rPr>
              <w:t>Job Title</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6E8D2" w14:textId="77777777" w:rsidR="0050309E" w:rsidRDefault="00B717B1">
            <w:pPr>
              <w:spacing w:before="100" w:after="100"/>
            </w:pPr>
            <w:r>
              <w:rPr>
                <w:rFonts w:ascii="Arial" w:hAnsi="Arial" w:cs="Arial"/>
                <w:b/>
                <w:sz w:val="22"/>
                <w:szCs w:val="22"/>
              </w:rPr>
              <w:t>Subject Area Manager, MSO</w:t>
            </w:r>
          </w:p>
        </w:tc>
      </w:tr>
      <w:tr w:rsidR="0050309E" w14:paraId="6FCDB1D1" w14:textId="77777777">
        <w:tblPrEx>
          <w:tblCellMar>
            <w:top w:w="0" w:type="dxa"/>
            <w:bottom w:w="0" w:type="dxa"/>
          </w:tblCellMar>
        </w:tblPrEx>
        <w:tc>
          <w:tcPr>
            <w:tcW w:w="1668" w:type="dxa"/>
            <w:tcBorders>
              <w:top w:val="single" w:sz="4" w:space="0" w:color="000000"/>
              <w:left w:val="single" w:sz="4" w:space="0" w:color="000000"/>
              <w:bottom w:val="single" w:sz="4" w:space="0" w:color="000000"/>
              <w:right w:val="single" w:sz="4" w:space="0" w:color="000000"/>
            </w:tcBorders>
            <w:shd w:val="clear" w:color="auto" w:fill="001E62"/>
            <w:tcMar>
              <w:top w:w="0" w:type="dxa"/>
              <w:left w:w="108" w:type="dxa"/>
              <w:bottom w:w="0" w:type="dxa"/>
              <w:right w:w="108" w:type="dxa"/>
            </w:tcMar>
          </w:tcPr>
          <w:p w14:paraId="35739454" w14:textId="77777777" w:rsidR="0050309E" w:rsidRDefault="00B717B1">
            <w:pPr>
              <w:spacing w:before="100" w:after="100"/>
              <w:rPr>
                <w:rFonts w:ascii="Arial" w:hAnsi="Arial" w:cs="Arial"/>
                <w:b/>
                <w:color w:val="FFFFFF"/>
              </w:rPr>
            </w:pPr>
            <w:r>
              <w:rPr>
                <w:rFonts w:ascii="Arial" w:hAnsi="Arial" w:cs="Arial"/>
                <w:b/>
                <w:color w:val="FFFFFF"/>
                <w:sz w:val="22"/>
                <w:szCs w:val="22"/>
              </w:rPr>
              <w:t>Reports to</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E25D2" w14:textId="77777777" w:rsidR="0050309E" w:rsidRDefault="00B717B1">
            <w:pPr>
              <w:spacing w:before="100" w:after="100"/>
            </w:pPr>
            <w:r>
              <w:rPr>
                <w:rFonts w:ascii="Arial" w:hAnsi="Arial" w:cs="Arial"/>
                <w:b/>
                <w:sz w:val="22"/>
                <w:szCs w:val="22"/>
              </w:rPr>
              <w:t>Deputy Director, RFO</w:t>
            </w:r>
          </w:p>
        </w:tc>
      </w:tr>
      <w:tr w:rsidR="0050309E" w14:paraId="2BFD5447" w14:textId="77777777">
        <w:tblPrEx>
          <w:tblCellMar>
            <w:top w:w="0" w:type="dxa"/>
            <w:bottom w:w="0" w:type="dxa"/>
          </w:tblCellMar>
        </w:tblPrEx>
        <w:trPr>
          <w:trHeight w:val="335"/>
        </w:trPr>
        <w:tc>
          <w:tcPr>
            <w:tcW w:w="1668" w:type="dxa"/>
            <w:tcBorders>
              <w:top w:val="single" w:sz="4" w:space="0" w:color="000000"/>
              <w:left w:val="single" w:sz="4" w:space="0" w:color="000000"/>
              <w:bottom w:val="single" w:sz="4" w:space="0" w:color="000000"/>
              <w:right w:val="single" w:sz="4" w:space="0" w:color="000000"/>
            </w:tcBorders>
            <w:shd w:val="clear" w:color="auto" w:fill="001E62"/>
            <w:tcMar>
              <w:top w:w="0" w:type="dxa"/>
              <w:left w:w="108" w:type="dxa"/>
              <w:bottom w:w="0" w:type="dxa"/>
              <w:right w:w="108" w:type="dxa"/>
            </w:tcMar>
          </w:tcPr>
          <w:p w14:paraId="412B9889" w14:textId="77777777" w:rsidR="0050309E" w:rsidRDefault="00B717B1">
            <w:pPr>
              <w:spacing w:before="100" w:after="100"/>
              <w:rPr>
                <w:rFonts w:ascii="Arial" w:hAnsi="Arial" w:cs="Arial"/>
                <w:b/>
                <w:color w:val="FFFFFF"/>
              </w:rPr>
            </w:pPr>
            <w:r>
              <w:rPr>
                <w:rFonts w:ascii="Arial" w:hAnsi="Arial" w:cs="Arial"/>
                <w:b/>
                <w:color w:val="FFFFFF"/>
                <w:sz w:val="22"/>
                <w:szCs w:val="22"/>
              </w:rPr>
              <w:t>Department</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7921E" w14:textId="77777777" w:rsidR="0050309E" w:rsidRDefault="00B717B1">
            <w:pPr>
              <w:spacing w:before="100" w:after="100"/>
            </w:pPr>
            <w:r>
              <w:rPr>
                <w:rFonts w:ascii="Arial" w:hAnsi="Arial" w:cs="Arial"/>
                <w:b/>
                <w:sz w:val="22"/>
                <w:szCs w:val="22"/>
              </w:rPr>
              <w:t>Subject Areas</w:t>
            </w:r>
          </w:p>
        </w:tc>
      </w:tr>
      <w:tr w:rsidR="0050309E" w14:paraId="2FD0B909" w14:textId="77777777">
        <w:tblPrEx>
          <w:tblCellMar>
            <w:top w:w="0" w:type="dxa"/>
            <w:bottom w:w="0" w:type="dxa"/>
          </w:tblCellMar>
        </w:tblPrEx>
        <w:tc>
          <w:tcPr>
            <w:tcW w:w="1668" w:type="dxa"/>
            <w:tcBorders>
              <w:top w:val="single" w:sz="4" w:space="0" w:color="000000"/>
              <w:left w:val="single" w:sz="4" w:space="0" w:color="000000"/>
              <w:bottom w:val="single" w:sz="4" w:space="0" w:color="000000"/>
              <w:right w:val="single" w:sz="4" w:space="0" w:color="000000"/>
            </w:tcBorders>
            <w:shd w:val="clear" w:color="auto" w:fill="001E62"/>
            <w:tcMar>
              <w:top w:w="0" w:type="dxa"/>
              <w:left w:w="108" w:type="dxa"/>
              <w:bottom w:w="0" w:type="dxa"/>
              <w:right w:w="108" w:type="dxa"/>
            </w:tcMar>
          </w:tcPr>
          <w:p w14:paraId="3096F74B" w14:textId="77777777" w:rsidR="0050309E" w:rsidRDefault="00B717B1">
            <w:pPr>
              <w:spacing w:before="100" w:after="100"/>
              <w:rPr>
                <w:rFonts w:ascii="Arial" w:hAnsi="Arial" w:cs="Arial"/>
                <w:b/>
                <w:color w:val="FFFFFF"/>
              </w:rPr>
            </w:pPr>
            <w:r>
              <w:rPr>
                <w:rFonts w:ascii="Arial" w:hAnsi="Arial" w:cs="Arial"/>
                <w:b/>
                <w:color w:val="FFFFFF"/>
                <w:sz w:val="22"/>
                <w:szCs w:val="22"/>
              </w:rPr>
              <w:t>Job Family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9C75F" w14:textId="77777777" w:rsidR="0050309E" w:rsidRDefault="00B717B1">
            <w:pPr>
              <w:spacing w:before="100" w:after="100"/>
            </w:pPr>
            <w:r>
              <w:rPr>
                <w:rFonts w:ascii="Arial" w:hAnsi="Arial" w:cs="Arial"/>
                <w:b/>
                <w:sz w:val="22"/>
                <w:szCs w:val="22"/>
              </w:rPr>
              <w:t xml:space="preserve">Business Services </w:t>
            </w:r>
          </w:p>
        </w:tc>
        <w:tc>
          <w:tcPr>
            <w:tcW w:w="993" w:type="dxa"/>
            <w:tcBorders>
              <w:top w:val="single" w:sz="4" w:space="0" w:color="000000"/>
              <w:left w:val="single" w:sz="4" w:space="0" w:color="000000"/>
              <w:bottom w:val="single" w:sz="4" w:space="0" w:color="000000"/>
              <w:right w:val="single" w:sz="4" w:space="0" w:color="000000"/>
            </w:tcBorders>
            <w:shd w:val="clear" w:color="auto" w:fill="001E62"/>
            <w:tcMar>
              <w:top w:w="0" w:type="dxa"/>
              <w:left w:w="108" w:type="dxa"/>
              <w:bottom w:w="0" w:type="dxa"/>
              <w:right w:w="108" w:type="dxa"/>
            </w:tcMar>
          </w:tcPr>
          <w:p w14:paraId="68825A28" w14:textId="77777777" w:rsidR="0050309E" w:rsidRDefault="00B717B1">
            <w:pPr>
              <w:spacing w:before="100" w:after="100"/>
            </w:pPr>
            <w:r>
              <w:rPr>
                <w:rFonts w:ascii="Arial" w:hAnsi="Arial" w:cs="Arial"/>
                <w:b/>
                <w:color w:val="FFFFFF"/>
                <w:sz w:val="22"/>
                <w:szCs w:val="22"/>
              </w:rPr>
              <w:t>Level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97C8" w14:textId="77777777" w:rsidR="0050309E" w:rsidRDefault="00B717B1">
            <w:pPr>
              <w:spacing w:before="100" w:after="100"/>
              <w:rPr>
                <w:rFonts w:ascii="Arial" w:hAnsi="Arial" w:cs="Arial"/>
                <w:b/>
              </w:rPr>
            </w:pPr>
            <w:r>
              <w:rPr>
                <w:rFonts w:ascii="Arial" w:hAnsi="Arial" w:cs="Arial"/>
                <w:b/>
                <w:sz w:val="22"/>
                <w:szCs w:val="22"/>
              </w:rPr>
              <w:t>4</w:t>
            </w:r>
          </w:p>
        </w:tc>
      </w:tr>
    </w:tbl>
    <w:p w14:paraId="75575EF7" w14:textId="77777777" w:rsidR="0050309E" w:rsidRDefault="0050309E">
      <w:pPr>
        <w:spacing w:before="100" w:after="100"/>
        <w:rPr>
          <w:rFonts w:ascii="Arial" w:hAnsi="Arial" w:cs="Arial"/>
          <w:color w:val="001E62"/>
          <w:sz w:val="22"/>
          <w:szCs w:val="22"/>
          <w:lang w:eastAsia="ja-JP"/>
        </w:rPr>
      </w:pPr>
    </w:p>
    <w:tbl>
      <w:tblPr>
        <w:tblW w:w="8897" w:type="dxa"/>
        <w:tblCellMar>
          <w:left w:w="10" w:type="dxa"/>
          <w:right w:w="10" w:type="dxa"/>
        </w:tblCellMar>
        <w:tblLook w:val="0000" w:firstRow="0" w:lastRow="0" w:firstColumn="0" w:lastColumn="0" w:noHBand="0" w:noVBand="0"/>
      </w:tblPr>
      <w:tblGrid>
        <w:gridCol w:w="8897"/>
      </w:tblGrid>
      <w:tr w:rsidR="0050309E" w14:paraId="2AA78033" w14:textId="77777777">
        <w:tblPrEx>
          <w:tblCellMar>
            <w:top w:w="0" w:type="dxa"/>
            <w:bottom w:w="0" w:type="dxa"/>
          </w:tblCellMar>
        </w:tblPrEx>
        <w:trPr>
          <w:trHeight w:val="416"/>
        </w:trPr>
        <w:tc>
          <w:tcPr>
            <w:tcW w:w="8897" w:type="dxa"/>
            <w:tcBorders>
              <w:top w:val="single" w:sz="4" w:space="0" w:color="000000"/>
              <w:left w:val="single" w:sz="4" w:space="0" w:color="000000"/>
              <w:bottom w:val="single" w:sz="4" w:space="0" w:color="000000"/>
              <w:right w:val="single" w:sz="4" w:space="0" w:color="000000"/>
            </w:tcBorders>
            <w:shd w:val="clear" w:color="auto" w:fill="001E62"/>
            <w:tcMar>
              <w:top w:w="0" w:type="dxa"/>
              <w:left w:w="108" w:type="dxa"/>
              <w:bottom w:w="0" w:type="dxa"/>
              <w:right w:w="108" w:type="dxa"/>
            </w:tcMar>
          </w:tcPr>
          <w:p w14:paraId="33E31B9F" w14:textId="77777777" w:rsidR="0050309E" w:rsidRDefault="00B717B1">
            <w:pPr>
              <w:spacing w:before="100" w:after="100"/>
            </w:pPr>
            <w:r>
              <w:rPr>
                <w:rFonts w:ascii="Arial" w:hAnsi="Arial" w:cs="Arial"/>
                <w:b/>
                <w:color w:val="FFFFFF"/>
                <w:sz w:val="22"/>
                <w:szCs w:val="22"/>
              </w:rPr>
              <w:t>About the School</w:t>
            </w:r>
          </w:p>
        </w:tc>
      </w:tr>
      <w:tr w:rsidR="0050309E" w14:paraId="260A5CFA" w14:textId="77777777">
        <w:tblPrEx>
          <w:tblCellMar>
            <w:top w:w="0" w:type="dxa"/>
            <w:bottom w:w="0" w:type="dxa"/>
          </w:tblCellMar>
        </w:tblPrEx>
        <w:trPr>
          <w:trHeight w:val="1086"/>
        </w:trPr>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DEB68" w14:textId="77777777" w:rsidR="0050309E" w:rsidRDefault="00B717B1">
            <w:pPr>
              <w:spacing w:before="100" w:after="100"/>
            </w:pPr>
            <w:r>
              <w:rPr>
                <w:rFonts w:ascii="Arial" w:hAnsi="Arial" w:cs="Arial"/>
                <w:sz w:val="22"/>
                <w:szCs w:val="22"/>
              </w:rPr>
              <w:t xml:space="preserve">At London Business School, we strive to have a profound impact on the way the </w:t>
            </w:r>
            <w:r>
              <w:rPr>
                <w:rFonts w:ascii="Arial" w:hAnsi="Arial" w:cs="Arial"/>
                <w:sz w:val="22"/>
                <w:szCs w:val="22"/>
              </w:rPr>
              <w:t xml:space="preserve">world does business and the way business impacts the world. Our departments work hard to ensure that we are continually delivering a world-class service, academic excellence and that our course offering maintains our place as a leading business school. </w:t>
            </w:r>
          </w:p>
          <w:p w14:paraId="206CEE8B" w14:textId="77777777" w:rsidR="0050309E" w:rsidRDefault="00B717B1">
            <w:pPr>
              <w:spacing w:before="100" w:after="100"/>
              <w:rPr>
                <w:rFonts w:ascii="Arial" w:hAnsi="Arial" w:cs="Arial"/>
              </w:rPr>
            </w:pPr>
            <w:r>
              <w:rPr>
                <w:rFonts w:ascii="Arial" w:hAnsi="Arial" w:cs="Arial"/>
                <w:sz w:val="22"/>
                <w:szCs w:val="22"/>
              </w:rPr>
              <w:t xml:space="preserve">With thought-leading faculty and dynamic learning solutions, we empower both businesses and individuals by offering a transformational learning experience that will broaden their professional knowledge and global mindset.  As well as offering postgraduate </w:t>
            </w:r>
            <w:r>
              <w:rPr>
                <w:rFonts w:ascii="Arial" w:hAnsi="Arial" w:cs="Arial"/>
                <w:sz w:val="22"/>
                <w:szCs w:val="22"/>
              </w:rPr>
              <w:t xml:space="preserve">courses for the business leaders of the future, we run open and </w:t>
            </w:r>
            <w:proofErr w:type="spellStart"/>
            <w:r>
              <w:rPr>
                <w:rFonts w:ascii="Arial" w:hAnsi="Arial" w:cs="Arial"/>
                <w:sz w:val="22"/>
                <w:szCs w:val="22"/>
              </w:rPr>
              <w:t>customised</w:t>
            </w:r>
            <w:proofErr w:type="spellEnd"/>
            <w:r>
              <w:rPr>
                <w:rFonts w:ascii="Arial" w:hAnsi="Arial" w:cs="Arial"/>
                <w:sz w:val="22"/>
                <w:szCs w:val="22"/>
              </w:rPr>
              <w:t xml:space="preserve"> executive courses for professionals and corporate clients that help leaders identify the future focus and strategic direction of their businesses. </w:t>
            </w:r>
          </w:p>
          <w:p w14:paraId="0E08046B" w14:textId="77777777" w:rsidR="0050309E" w:rsidRDefault="00B717B1">
            <w:pPr>
              <w:spacing w:before="100" w:after="100"/>
              <w:rPr>
                <w:rFonts w:ascii="Arial" w:hAnsi="Arial" w:cs="Arial"/>
              </w:rPr>
            </w:pPr>
            <w:r>
              <w:rPr>
                <w:rFonts w:ascii="Arial" w:hAnsi="Arial" w:cs="Arial"/>
                <w:sz w:val="22"/>
                <w:szCs w:val="22"/>
              </w:rPr>
              <w:t>With London in our hearts, we dra</w:t>
            </w:r>
            <w:r>
              <w:rPr>
                <w:rFonts w:ascii="Arial" w:hAnsi="Arial" w:cs="Arial"/>
                <w:sz w:val="22"/>
                <w:szCs w:val="22"/>
              </w:rPr>
              <w:t xml:space="preserve">w from its status as a financial, </w:t>
            </w:r>
            <w:proofErr w:type="gramStart"/>
            <w:r>
              <w:rPr>
                <w:rFonts w:ascii="Arial" w:hAnsi="Arial" w:cs="Arial"/>
                <w:sz w:val="22"/>
                <w:szCs w:val="22"/>
              </w:rPr>
              <w:t>entrepreneurial</w:t>
            </w:r>
            <w:proofErr w:type="gramEnd"/>
            <w:r>
              <w:rPr>
                <w:rFonts w:ascii="Arial" w:hAnsi="Arial" w:cs="Arial"/>
                <w:sz w:val="22"/>
                <w:szCs w:val="22"/>
              </w:rPr>
              <w:t xml:space="preserve"> and cultural hub to attract a diverse range of students and faculty, creating an abundance of opportunities to network with industry experts and alumni worldwide. </w:t>
            </w:r>
          </w:p>
          <w:p w14:paraId="649E4001" w14:textId="77777777" w:rsidR="0050309E" w:rsidRDefault="0050309E">
            <w:pPr>
              <w:spacing w:before="100" w:after="100"/>
              <w:rPr>
                <w:rFonts w:ascii="Arial" w:hAnsi="Arial" w:cs="Arial"/>
              </w:rPr>
            </w:pPr>
          </w:p>
        </w:tc>
      </w:tr>
      <w:tr w:rsidR="0050309E" w14:paraId="19B22FB8" w14:textId="77777777">
        <w:tblPrEx>
          <w:tblCellMar>
            <w:top w:w="0" w:type="dxa"/>
            <w:bottom w:w="0" w:type="dxa"/>
          </w:tblCellMar>
        </w:tblPrEx>
        <w:trPr>
          <w:trHeight w:val="416"/>
        </w:trPr>
        <w:tc>
          <w:tcPr>
            <w:tcW w:w="8897" w:type="dxa"/>
            <w:tcBorders>
              <w:top w:val="single" w:sz="4" w:space="0" w:color="000000"/>
              <w:left w:val="single" w:sz="4" w:space="0" w:color="000000"/>
              <w:bottom w:val="single" w:sz="4" w:space="0" w:color="000000"/>
              <w:right w:val="single" w:sz="4" w:space="0" w:color="000000"/>
            </w:tcBorders>
            <w:shd w:val="clear" w:color="auto" w:fill="001E62"/>
            <w:tcMar>
              <w:top w:w="0" w:type="dxa"/>
              <w:left w:w="108" w:type="dxa"/>
              <w:bottom w:w="0" w:type="dxa"/>
              <w:right w:w="108" w:type="dxa"/>
            </w:tcMar>
          </w:tcPr>
          <w:p w14:paraId="769DAAE6" w14:textId="77777777" w:rsidR="0050309E" w:rsidRDefault="00B717B1">
            <w:pPr>
              <w:spacing w:before="100" w:after="100"/>
            </w:pPr>
            <w:r>
              <w:rPr>
                <w:rFonts w:ascii="Arial" w:hAnsi="Arial" w:cs="Arial"/>
                <w:b/>
                <w:color w:val="FFFFFF"/>
                <w:sz w:val="22"/>
                <w:szCs w:val="22"/>
              </w:rPr>
              <w:t>About the Department</w:t>
            </w:r>
          </w:p>
        </w:tc>
      </w:tr>
      <w:tr w:rsidR="0050309E" w14:paraId="75CED88F" w14:textId="77777777">
        <w:tblPrEx>
          <w:tblCellMar>
            <w:top w:w="0" w:type="dxa"/>
            <w:bottom w:w="0" w:type="dxa"/>
          </w:tblCellMar>
        </w:tblPrEx>
        <w:trPr>
          <w:trHeight w:val="1086"/>
        </w:trPr>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D6A8D" w14:textId="77777777" w:rsidR="0050309E" w:rsidRDefault="00B717B1">
            <w:pPr>
              <w:jc w:val="both"/>
              <w:rPr>
                <w:rFonts w:ascii="Arial" w:hAnsi="Arial" w:cs="Arial"/>
              </w:rPr>
            </w:pPr>
            <w:r>
              <w:rPr>
                <w:rFonts w:ascii="Arial" w:hAnsi="Arial" w:cs="Arial"/>
                <w:sz w:val="22"/>
                <w:szCs w:val="22"/>
              </w:rPr>
              <w:t xml:space="preserve">The </w:t>
            </w:r>
            <w:r>
              <w:rPr>
                <w:rFonts w:ascii="Arial" w:hAnsi="Arial" w:cs="Arial"/>
                <w:sz w:val="22"/>
                <w:szCs w:val="22"/>
              </w:rPr>
              <w:t>Research and Faculty Office is responsible for providing HR, Research, Teaching and PhD support to the academic staff of London Business School.  The Subject Areas consist of seven small teams led by the Deputy Director, RFO in close partnership with a sen</w:t>
            </w:r>
            <w:r>
              <w:rPr>
                <w:rFonts w:ascii="Arial" w:hAnsi="Arial" w:cs="Arial"/>
                <w:sz w:val="22"/>
                <w:szCs w:val="22"/>
              </w:rPr>
              <w:t>ior faculty member in each Subject Area. Subject Areas provide key support such as:</w:t>
            </w:r>
          </w:p>
          <w:p w14:paraId="404D92B7" w14:textId="77777777" w:rsidR="0050309E" w:rsidRDefault="00B717B1">
            <w:pPr>
              <w:pStyle w:val="ListParagraph"/>
              <w:numPr>
                <w:ilvl w:val="0"/>
                <w:numId w:val="6"/>
              </w:numPr>
            </w:pPr>
            <w:r>
              <w:rPr>
                <w:rFonts w:ascii="Arial" w:hAnsi="Arial" w:cs="Arial"/>
                <w:sz w:val="22"/>
                <w:szCs w:val="22"/>
              </w:rPr>
              <w:t>Course administration, including Canvas setup and assessment</w:t>
            </w:r>
          </w:p>
          <w:p w14:paraId="7B025B1B" w14:textId="77777777" w:rsidR="0050309E" w:rsidRDefault="00B717B1">
            <w:pPr>
              <w:pStyle w:val="ListParagraph"/>
              <w:numPr>
                <w:ilvl w:val="0"/>
                <w:numId w:val="6"/>
              </w:numPr>
              <w:rPr>
                <w:rFonts w:ascii="Arial" w:hAnsi="Arial" w:cs="Arial"/>
                <w:bCs/>
              </w:rPr>
            </w:pPr>
            <w:r>
              <w:rPr>
                <w:rFonts w:ascii="Arial" w:hAnsi="Arial" w:cs="Arial"/>
                <w:bCs/>
                <w:sz w:val="22"/>
                <w:szCs w:val="22"/>
              </w:rPr>
              <w:t>Coordination of research events</w:t>
            </w:r>
          </w:p>
          <w:p w14:paraId="246E18D7" w14:textId="77777777" w:rsidR="0050309E" w:rsidRDefault="00B717B1">
            <w:pPr>
              <w:pStyle w:val="ListParagraph"/>
              <w:numPr>
                <w:ilvl w:val="0"/>
                <w:numId w:val="6"/>
              </w:numPr>
              <w:rPr>
                <w:rFonts w:ascii="Arial" w:hAnsi="Arial" w:cs="Arial"/>
                <w:bCs/>
              </w:rPr>
            </w:pPr>
            <w:r>
              <w:rPr>
                <w:rFonts w:ascii="Arial" w:hAnsi="Arial" w:cs="Arial"/>
                <w:bCs/>
                <w:sz w:val="22"/>
                <w:szCs w:val="22"/>
              </w:rPr>
              <w:t>Processing expenses and managing casual workers/timesheets</w:t>
            </w:r>
          </w:p>
          <w:p w14:paraId="2EBBB7AA" w14:textId="77777777" w:rsidR="0050309E" w:rsidRDefault="00B717B1">
            <w:pPr>
              <w:pStyle w:val="ListParagraph"/>
              <w:numPr>
                <w:ilvl w:val="0"/>
                <w:numId w:val="6"/>
              </w:numPr>
              <w:rPr>
                <w:rFonts w:ascii="Arial" w:hAnsi="Arial" w:cs="Arial"/>
                <w:bCs/>
              </w:rPr>
            </w:pPr>
            <w:r>
              <w:rPr>
                <w:rFonts w:ascii="Arial" w:hAnsi="Arial" w:cs="Arial"/>
                <w:bCs/>
                <w:sz w:val="22"/>
                <w:szCs w:val="22"/>
              </w:rPr>
              <w:t>Administrative suppo</w:t>
            </w:r>
            <w:r>
              <w:rPr>
                <w:rFonts w:ascii="Arial" w:hAnsi="Arial" w:cs="Arial"/>
                <w:bCs/>
                <w:sz w:val="22"/>
                <w:szCs w:val="22"/>
              </w:rPr>
              <w:t>rt to faculty and department</w:t>
            </w:r>
          </w:p>
          <w:p w14:paraId="7281BA23" w14:textId="77777777" w:rsidR="0050309E" w:rsidRDefault="0050309E">
            <w:pPr>
              <w:pStyle w:val="ListParagraph"/>
              <w:numPr>
                <w:ilvl w:val="0"/>
                <w:numId w:val="0"/>
              </w:numPr>
              <w:ind w:left="360" w:hanging="360"/>
              <w:rPr>
                <w:rFonts w:ascii="Arial" w:hAnsi="Arial" w:cs="Arial"/>
                <w:bCs/>
              </w:rPr>
            </w:pPr>
          </w:p>
        </w:tc>
      </w:tr>
    </w:tbl>
    <w:p w14:paraId="1B56CBEE" w14:textId="77777777" w:rsidR="0050309E" w:rsidRDefault="0050309E"/>
    <w:tbl>
      <w:tblPr>
        <w:tblW w:w="8897" w:type="dxa"/>
        <w:tblCellMar>
          <w:left w:w="10" w:type="dxa"/>
          <w:right w:w="10" w:type="dxa"/>
        </w:tblCellMar>
        <w:tblLook w:val="0000" w:firstRow="0" w:lastRow="0" w:firstColumn="0" w:lastColumn="0" w:noHBand="0" w:noVBand="0"/>
      </w:tblPr>
      <w:tblGrid>
        <w:gridCol w:w="8897"/>
      </w:tblGrid>
      <w:tr w:rsidR="0050309E" w14:paraId="2AD126A3" w14:textId="77777777">
        <w:tblPrEx>
          <w:tblCellMar>
            <w:top w:w="0" w:type="dxa"/>
            <w:bottom w:w="0" w:type="dxa"/>
          </w:tblCellMar>
        </w:tblPrEx>
        <w:trPr>
          <w:trHeight w:val="416"/>
        </w:trPr>
        <w:tc>
          <w:tcPr>
            <w:tcW w:w="8897" w:type="dxa"/>
            <w:tcBorders>
              <w:top w:val="single" w:sz="4" w:space="0" w:color="000000"/>
              <w:left w:val="single" w:sz="4" w:space="0" w:color="000000"/>
              <w:bottom w:val="single" w:sz="4" w:space="0" w:color="000000"/>
              <w:right w:val="single" w:sz="4" w:space="0" w:color="000000"/>
            </w:tcBorders>
            <w:shd w:val="clear" w:color="auto" w:fill="001E62"/>
            <w:tcMar>
              <w:top w:w="0" w:type="dxa"/>
              <w:left w:w="108" w:type="dxa"/>
              <w:bottom w:w="0" w:type="dxa"/>
              <w:right w:w="108" w:type="dxa"/>
            </w:tcMar>
          </w:tcPr>
          <w:p w14:paraId="6BDA252D" w14:textId="77777777" w:rsidR="0050309E" w:rsidRDefault="00B717B1">
            <w:pPr>
              <w:spacing w:before="100" w:after="100"/>
            </w:pPr>
            <w:r>
              <w:rPr>
                <w:rFonts w:ascii="Arial" w:hAnsi="Arial" w:cs="Arial"/>
                <w:b/>
                <w:color w:val="FFFFFF"/>
                <w:sz w:val="22"/>
                <w:szCs w:val="22"/>
              </w:rPr>
              <w:t>Job Purpose</w:t>
            </w:r>
          </w:p>
        </w:tc>
      </w:tr>
      <w:tr w:rsidR="0050309E" w14:paraId="238ED229" w14:textId="77777777">
        <w:tblPrEx>
          <w:tblCellMar>
            <w:top w:w="0" w:type="dxa"/>
            <w:bottom w:w="0" w:type="dxa"/>
          </w:tblCellMar>
        </w:tblPrEx>
        <w:trPr>
          <w:trHeight w:val="924"/>
        </w:trPr>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3F549" w14:textId="77777777" w:rsidR="0050309E" w:rsidRDefault="00B717B1">
            <w:pPr>
              <w:spacing w:before="100" w:after="100"/>
              <w:rPr>
                <w:rFonts w:ascii="Arial" w:hAnsi="Arial" w:cs="Arial"/>
                <w:bCs/>
              </w:rPr>
            </w:pPr>
            <w:r>
              <w:rPr>
                <w:rFonts w:ascii="Arial" w:hAnsi="Arial" w:cs="Arial"/>
                <w:bCs/>
                <w:sz w:val="22"/>
                <w:szCs w:val="22"/>
              </w:rPr>
              <w:t xml:space="preserve">The Subject Area Manager (SAM) plays a key role in supporting faculty in their research and teaching through the development and delivery of the subject area strategic plan. They provide operational </w:t>
            </w:r>
            <w:r>
              <w:rPr>
                <w:rFonts w:ascii="Arial" w:hAnsi="Arial" w:cs="Arial"/>
                <w:bCs/>
                <w:sz w:val="22"/>
                <w:szCs w:val="22"/>
              </w:rPr>
              <w:t xml:space="preserve">support to the Subject Area Chair (SAC) in delivering the plan as well as administrative leadership of a team of faculty assistants.  Subject Area Managers collaborate across all subject areas and </w:t>
            </w:r>
            <w:proofErr w:type="spellStart"/>
            <w:r>
              <w:rPr>
                <w:rFonts w:ascii="Arial" w:hAnsi="Arial" w:cs="Arial"/>
                <w:bCs/>
                <w:sz w:val="22"/>
                <w:szCs w:val="22"/>
              </w:rPr>
              <w:t>programme</w:t>
            </w:r>
            <w:proofErr w:type="spellEnd"/>
            <w:r>
              <w:rPr>
                <w:rFonts w:ascii="Arial" w:hAnsi="Arial" w:cs="Arial"/>
                <w:bCs/>
                <w:sz w:val="22"/>
                <w:szCs w:val="22"/>
              </w:rPr>
              <w:t xml:space="preserve"> offices to ensure that a culture of continuous im</w:t>
            </w:r>
            <w:r>
              <w:rPr>
                <w:rFonts w:ascii="Arial" w:hAnsi="Arial" w:cs="Arial"/>
                <w:bCs/>
                <w:sz w:val="22"/>
                <w:szCs w:val="22"/>
              </w:rPr>
              <w:t xml:space="preserve">provement is embedded. </w:t>
            </w:r>
          </w:p>
          <w:p w14:paraId="5CA5C297" w14:textId="77777777" w:rsidR="0050309E" w:rsidRDefault="00B717B1">
            <w:pPr>
              <w:spacing w:before="100" w:after="100"/>
              <w:rPr>
                <w:rFonts w:ascii="Arial" w:hAnsi="Arial" w:cs="Arial"/>
                <w:bCs/>
              </w:rPr>
            </w:pPr>
            <w:r>
              <w:rPr>
                <w:rFonts w:ascii="Arial" w:hAnsi="Arial" w:cs="Arial"/>
                <w:bCs/>
                <w:sz w:val="22"/>
                <w:szCs w:val="22"/>
              </w:rPr>
              <w:t xml:space="preserve">SAMs lead and oversee the delivery of key activities within their subject area to support excellence in teaching through: </w:t>
            </w:r>
          </w:p>
          <w:p w14:paraId="5E270939" w14:textId="77777777" w:rsidR="0050309E" w:rsidRDefault="00B717B1">
            <w:pPr>
              <w:rPr>
                <w:rFonts w:ascii="Arial" w:hAnsi="Arial" w:cs="Arial"/>
                <w:bCs/>
              </w:rPr>
            </w:pPr>
            <w:r>
              <w:rPr>
                <w:rFonts w:ascii="Arial" w:hAnsi="Arial" w:cs="Arial"/>
                <w:bCs/>
                <w:sz w:val="22"/>
                <w:szCs w:val="22"/>
              </w:rPr>
              <w:t>•</w:t>
            </w:r>
            <w:r>
              <w:rPr>
                <w:rFonts w:ascii="Arial" w:hAnsi="Arial" w:cs="Arial"/>
                <w:bCs/>
                <w:sz w:val="22"/>
                <w:szCs w:val="22"/>
              </w:rPr>
              <w:tab/>
              <w:t>Leading a team of faculty assistants to ensure administrative services are delivered in an efficient, respo</w:t>
            </w:r>
            <w:r>
              <w:rPr>
                <w:rFonts w:ascii="Arial" w:hAnsi="Arial" w:cs="Arial"/>
                <w:bCs/>
                <w:sz w:val="22"/>
                <w:szCs w:val="22"/>
              </w:rPr>
              <w:t>nsive and professional manner</w:t>
            </w:r>
          </w:p>
          <w:p w14:paraId="1A99BEE7" w14:textId="77777777" w:rsidR="0050309E" w:rsidRDefault="00B717B1">
            <w:pPr>
              <w:rPr>
                <w:rFonts w:ascii="Arial" w:hAnsi="Arial" w:cs="Arial"/>
                <w:bCs/>
              </w:rPr>
            </w:pPr>
            <w:r>
              <w:rPr>
                <w:rFonts w:ascii="Arial" w:hAnsi="Arial" w:cs="Arial"/>
                <w:bCs/>
                <w:sz w:val="22"/>
                <w:szCs w:val="22"/>
              </w:rPr>
              <w:t>•</w:t>
            </w:r>
            <w:r>
              <w:rPr>
                <w:rFonts w:ascii="Arial" w:hAnsi="Arial" w:cs="Arial"/>
                <w:bCs/>
                <w:sz w:val="22"/>
                <w:szCs w:val="22"/>
              </w:rPr>
              <w:tab/>
              <w:t xml:space="preserve">Managing budgets, activities and events for both teaching and research initiatives </w:t>
            </w:r>
          </w:p>
          <w:p w14:paraId="173D6CAD" w14:textId="77777777" w:rsidR="0050309E" w:rsidRDefault="00B717B1">
            <w:pPr>
              <w:rPr>
                <w:rFonts w:ascii="Arial" w:hAnsi="Arial" w:cs="Arial"/>
                <w:bCs/>
              </w:rPr>
            </w:pPr>
            <w:r>
              <w:rPr>
                <w:rFonts w:ascii="Arial" w:hAnsi="Arial" w:cs="Arial"/>
                <w:bCs/>
                <w:sz w:val="22"/>
                <w:szCs w:val="22"/>
              </w:rPr>
              <w:lastRenderedPageBreak/>
              <w:t>•</w:t>
            </w:r>
            <w:r>
              <w:rPr>
                <w:rFonts w:ascii="Arial" w:hAnsi="Arial" w:cs="Arial"/>
                <w:bCs/>
                <w:sz w:val="22"/>
                <w:szCs w:val="22"/>
              </w:rPr>
              <w:tab/>
              <w:t>Working closely with the SAC in the recruitment and onboarding of new faculty and PhD students, taking a lead in key activities</w:t>
            </w:r>
          </w:p>
          <w:p w14:paraId="2A7EEAA3" w14:textId="77777777" w:rsidR="0050309E" w:rsidRDefault="00B717B1">
            <w:pPr>
              <w:rPr>
                <w:rFonts w:ascii="Arial" w:hAnsi="Arial" w:cs="Arial"/>
                <w:bCs/>
              </w:rPr>
            </w:pPr>
            <w:r>
              <w:rPr>
                <w:rFonts w:ascii="Arial" w:hAnsi="Arial" w:cs="Arial"/>
                <w:bCs/>
                <w:sz w:val="22"/>
                <w:szCs w:val="22"/>
              </w:rPr>
              <w:t>•</w:t>
            </w:r>
            <w:r>
              <w:rPr>
                <w:rFonts w:ascii="Arial" w:hAnsi="Arial" w:cs="Arial"/>
                <w:bCs/>
                <w:sz w:val="22"/>
                <w:szCs w:val="22"/>
              </w:rPr>
              <w:tab/>
            </w:r>
            <w:r>
              <w:rPr>
                <w:rFonts w:ascii="Arial" w:hAnsi="Arial" w:cs="Arial"/>
                <w:bCs/>
                <w:sz w:val="22"/>
                <w:szCs w:val="22"/>
              </w:rPr>
              <w:t>Acting as the principal point of contact between the Subject Area and other departments of the School and key external stakeholders</w:t>
            </w:r>
          </w:p>
          <w:p w14:paraId="61FC351F" w14:textId="77777777" w:rsidR="0050309E" w:rsidRDefault="0050309E">
            <w:pPr>
              <w:rPr>
                <w:rFonts w:ascii="Arial" w:hAnsi="Arial" w:cs="Arial"/>
                <w:bCs/>
              </w:rPr>
            </w:pPr>
          </w:p>
        </w:tc>
      </w:tr>
    </w:tbl>
    <w:p w14:paraId="392137F3" w14:textId="77777777" w:rsidR="0050309E" w:rsidRDefault="0050309E">
      <w:pPr>
        <w:rPr>
          <w:vanish/>
        </w:rPr>
      </w:pPr>
    </w:p>
    <w:tbl>
      <w:tblPr>
        <w:tblW w:w="8867" w:type="dxa"/>
        <w:tblCellMar>
          <w:left w:w="10" w:type="dxa"/>
          <w:right w:w="10" w:type="dxa"/>
        </w:tblCellMar>
        <w:tblLook w:val="0000" w:firstRow="0" w:lastRow="0" w:firstColumn="0" w:lastColumn="0" w:noHBand="0" w:noVBand="0"/>
      </w:tblPr>
      <w:tblGrid>
        <w:gridCol w:w="8867"/>
      </w:tblGrid>
      <w:tr w:rsidR="0050309E" w14:paraId="3650CCFA" w14:textId="77777777">
        <w:tblPrEx>
          <w:tblCellMar>
            <w:top w:w="0" w:type="dxa"/>
            <w:bottom w:w="0" w:type="dxa"/>
          </w:tblCellMar>
        </w:tblPrEx>
        <w:trPr>
          <w:trHeight w:val="287"/>
        </w:trPr>
        <w:tc>
          <w:tcPr>
            <w:tcW w:w="8867" w:type="dxa"/>
            <w:tcBorders>
              <w:top w:val="single" w:sz="4" w:space="0" w:color="000000"/>
              <w:left w:val="single" w:sz="4" w:space="0" w:color="000000"/>
              <w:bottom w:val="single" w:sz="4" w:space="0" w:color="000000"/>
              <w:right w:val="single" w:sz="4" w:space="0" w:color="000000"/>
            </w:tcBorders>
            <w:shd w:val="clear" w:color="auto" w:fill="001E62"/>
            <w:tcMar>
              <w:top w:w="0" w:type="dxa"/>
              <w:left w:w="108" w:type="dxa"/>
              <w:bottom w:w="0" w:type="dxa"/>
              <w:right w:w="108" w:type="dxa"/>
            </w:tcMar>
          </w:tcPr>
          <w:p w14:paraId="4A6C42F0" w14:textId="77777777" w:rsidR="0050309E" w:rsidRDefault="00B717B1">
            <w:pPr>
              <w:spacing w:before="100" w:after="100"/>
              <w:rPr>
                <w:rFonts w:ascii="Arial" w:hAnsi="Arial" w:cs="Arial"/>
                <w:b/>
                <w:color w:val="FFFFFF"/>
              </w:rPr>
            </w:pPr>
            <w:r>
              <w:rPr>
                <w:rFonts w:ascii="Arial" w:hAnsi="Arial" w:cs="Arial"/>
                <w:b/>
                <w:color w:val="FFFFFF"/>
                <w:sz w:val="22"/>
                <w:szCs w:val="22"/>
              </w:rPr>
              <w:t>Key Areas of accountability and Key Performance Indicators (KPIs)</w:t>
            </w:r>
          </w:p>
        </w:tc>
      </w:tr>
      <w:tr w:rsidR="0050309E" w14:paraId="2A2EB6C1" w14:textId="77777777">
        <w:tblPrEx>
          <w:tblCellMar>
            <w:top w:w="0" w:type="dxa"/>
            <w:bottom w:w="0" w:type="dxa"/>
          </w:tblCellMar>
        </w:tblPrEx>
        <w:trPr>
          <w:trHeight w:val="748"/>
        </w:trPr>
        <w:tc>
          <w:tcPr>
            <w:tcW w:w="8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459DA" w14:textId="77777777" w:rsidR="0050309E" w:rsidRDefault="00B717B1">
            <w:pPr>
              <w:spacing w:before="100" w:after="100"/>
            </w:pPr>
            <w:r>
              <w:rPr>
                <w:rFonts w:ascii="Arial" w:hAnsi="Arial" w:cs="Arial"/>
                <w:bCs/>
                <w:sz w:val="22"/>
                <w:szCs w:val="22"/>
                <w:u w:val="single"/>
              </w:rPr>
              <w:t>Key areas of accountability:</w:t>
            </w:r>
          </w:p>
          <w:p w14:paraId="7187E186" w14:textId="77777777" w:rsidR="0050309E" w:rsidRDefault="00B717B1">
            <w:pPr>
              <w:autoSpaceDE w:val="0"/>
              <w:spacing w:before="100" w:after="100"/>
              <w:rPr>
                <w:rFonts w:ascii="Arial" w:hAnsi="Arial" w:cs="Arial"/>
                <w:b/>
              </w:rPr>
            </w:pPr>
            <w:r>
              <w:rPr>
                <w:rFonts w:ascii="Arial" w:hAnsi="Arial" w:cs="Arial"/>
                <w:b/>
                <w:sz w:val="22"/>
                <w:szCs w:val="22"/>
              </w:rPr>
              <w:t xml:space="preserve">Strategy and </w:t>
            </w:r>
            <w:r>
              <w:rPr>
                <w:rFonts w:ascii="Arial" w:hAnsi="Arial" w:cs="Arial"/>
                <w:b/>
                <w:sz w:val="22"/>
                <w:szCs w:val="22"/>
              </w:rPr>
              <w:t>Planning (30%)</w:t>
            </w:r>
          </w:p>
          <w:p w14:paraId="04E3D003"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Understand the Subject Area strategy and assist Subject Area Chairs in preparing for their annual strategy meeting. Contribute where relevant with feedback and insights from operational management. </w:t>
            </w:r>
          </w:p>
          <w:p w14:paraId="32AFC028"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In collaboration with the SAC, </w:t>
            </w:r>
            <w:r>
              <w:rPr>
                <w:rFonts w:ascii="Arial" w:hAnsi="Arial" w:cs="Arial"/>
                <w:bCs/>
                <w:sz w:val="22"/>
                <w:szCs w:val="22"/>
              </w:rPr>
              <w:t>prepare documentation for Subject Area Review, by collating data and liaising across teams to prepare complex reports to inform review, planning and decision-making.</w:t>
            </w:r>
          </w:p>
          <w:p w14:paraId="1B6B99CC"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Contribute to the development of broader operational plans, manage operational plans in ow</w:t>
            </w:r>
            <w:r>
              <w:rPr>
                <w:rFonts w:ascii="Arial" w:hAnsi="Arial" w:cs="Arial"/>
                <w:bCs/>
                <w:sz w:val="22"/>
                <w:szCs w:val="22"/>
              </w:rPr>
              <w:t xml:space="preserve">n area and enable successful implementation by </w:t>
            </w:r>
            <w:proofErr w:type="spellStart"/>
            <w:r>
              <w:rPr>
                <w:rFonts w:ascii="Arial" w:hAnsi="Arial" w:cs="Arial"/>
                <w:bCs/>
                <w:sz w:val="22"/>
                <w:szCs w:val="22"/>
              </w:rPr>
              <w:t>prioritising</w:t>
            </w:r>
            <w:proofErr w:type="spellEnd"/>
            <w:r>
              <w:rPr>
                <w:rFonts w:ascii="Arial" w:hAnsi="Arial" w:cs="Arial"/>
                <w:bCs/>
                <w:sz w:val="22"/>
                <w:szCs w:val="22"/>
              </w:rPr>
              <w:t xml:space="preserve"> and aligning planned activities. This will include liaison with all key school services (Estates, Operations, Space Planning, Accounts)</w:t>
            </w:r>
          </w:p>
          <w:p w14:paraId="09F7E3BB" w14:textId="77777777" w:rsidR="0050309E" w:rsidRDefault="00B717B1">
            <w:pPr>
              <w:autoSpaceDE w:val="0"/>
              <w:spacing w:before="100" w:after="100"/>
              <w:rPr>
                <w:rFonts w:ascii="Arial" w:hAnsi="Arial" w:cs="Arial"/>
                <w:b/>
              </w:rPr>
            </w:pPr>
            <w:proofErr w:type="spellStart"/>
            <w:r>
              <w:rPr>
                <w:rFonts w:ascii="Arial" w:hAnsi="Arial" w:cs="Arial"/>
                <w:b/>
                <w:sz w:val="22"/>
                <w:szCs w:val="22"/>
              </w:rPr>
              <w:t>Programme</w:t>
            </w:r>
            <w:proofErr w:type="spellEnd"/>
            <w:r>
              <w:rPr>
                <w:rFonts w:ascii="Arial" w:hAnsi="Arial" w:cs="Arial"/>
                <w:b/>
                <w:sz w:val="22"/>
                <w:szCs w:val="22"/>
              </w:rPr>
              <w:t xml:space="preserve"> Delivery and Improvement (30-40%)</w:t>
            </w:r>
          </w:p>
          <w:p w14:paraId="05E82E64"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Lead the annual </w:t>
            </w:r>
            <w:r>
              <w:rPr>
                <w:rFonts w:ascii="Arial" w:hAnsi="Arial" w:cs="Arial"/>
                <w:bCs/>
                <w:sz w:val="22"/>
                <w:szCs w:val="22"/>
              </w:rPr>
              <w:t xml:space="preserve">teaching planning for the Subject Area, including all learning provision, </w:t>
            </w:r>
            <w:proofErr w:type="spellStart"/>
            <w:proofErr w:type="gramStart"/>
            <w:r>
              <w:rPr>
                <w:rFonts w:ascii="Arial" w:hAnsi="Arial" w:cs="Arial"/>
                <w:bCs/>
                <w:sz w:val="22"/>
                <w:szCs w:val="22"/>
              </w:rPr>
              <w:t>programmes</w:t>
            </w:r>
            <w:proofErr w:type="spellEnd"/>
            <w:proofErr w:type="gramEnd"/>
            <w:r>
              <w:rPr>
                <w:rFonts w:ascii="Arial" w:hAnsi="Arial" w:cs="Arial"/>
                <w:bCs/>
                <w:sz w:val="22"/>
                <w:szCs w:val="22"/>
              </w:rPr>
              <w:t xml:space="preserve"> and activities to ensure that learning delivery remains at the forefront of business education, liaising with faculty, DECC, EE and RFO.</w:t>
            </w:r>
          </w:p>
          <w:p w14:paraId="3748614F"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Lead on the delivery of a portfoli</w:t>
            </w:r>
            <w:r>
              <w:rPr>
                <w:rFonts w:ascii="Arial" w:hAnsi="Arial" w:cs="Arial"/>
                <w:bCs/>
                <w:sz w:val="22"/>
                <w:szCs w:val="22"/>
              </w:rPr>
              <w:t xml:space="preserve">o of elective courses within their Subject Area within budget and to quality standards and targets. </w:t>
            </w:r>
          </w:p>
          <w:p w14:paraId="6EC9E944"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Support DECC </w:t>
            </w:r>
            <w:proofErr w:type="spellStart"/>
            <w:r>
              <w:rPr>
                <w:rFonts w:ascii="Arial" w:hAnsi="Arial" w:cs="Arial"/>
                <w:bCs/>
                <w:sz w:val="22"/>
                <w:szCs w:val="22"/>
              </w:rPr>
              <w:t>Programme</w:t>
            </w:r>
            <w:proofErr w:type="spellEnd"/>
            <w:r>
              <w:rPr>
                <w:rFonts w:ascii="Arial" w:hAnsi="Arial" w:cs="Arial"/>
                <w:bCs/>
                <w:sz w:val="22"/>
                <w:szCs w:val="22"/>
              </w:rPr>
              <w:t xml:space="preserve"> Office lead on all core courses, by </w:t>
            </w:r>
            <w:proofErr w:type="spellStart"/>
            <w:r>
              <w:rPr>
                <w:rFonts w:ascii="Arial" w:hAnsi="Arial" w:cs="Arial"/>
                <w:bCs/>
                <w:sz w:val="22"/>
                <w:szCs w:val="22"/>
              </w:rPr>
              <w:t>co-ordinating</w:t>
            </w:r>
            <w:proofErr w:type="spellEnd"/>
            <w:r>
              <w:rPr>
                <w:rFonts w:ascii="Arial" w:hAnsi="Arial" w:cs="Arial"/>
                <w:bCs/>
                <w:sz w:val="22"/>
                <w:szCs w:val="22"/>
              </w:rPr>
              <w:t xml:space="preserve"> with </w:t>
            </w:r>
            <w:proofErr w:type="spellStart"/>
            <w:r>
              <w:rPr>
                <w:rFonts w:ascii="Arial" w:hAnsi="Arial" w:cs="Arial"/>
                <w:bCs/>
                <w:sz w:val="22"/>
                <w:szCs w:val="22"/>
              </w:rPr>
              <w:t>programme</w:t>
            </w:r>
            <w:proofErr w:type="spellEnd"/>
            <w:r>
              <w:rPr>
                <w:rFonts w:ascii="Arial" w:hAnsi="Arial" w:cs="Arial"/>
                <w:bCs/>
                <w:sz w:val="22"/>
                <w:szCs w:val="22"/>
              </w:rPr>
              <w:t xml:space="preserve"> offices and coordinating/managing in-house and /or external contrib</w:t>
            </w:r>
            <w:r>
              <w:rPr>
                <w:rFonts w:ascii="Arial" w:hAnsi="Arial" w:cs="Arial"/>
                <w:bCs/>
                <w:sz w:val="22"/>
                <w:szCs w:val="22"/>
              </w:rPr>
              <w:t>utors/resources to ensure successful learning outcomes within budget and to quality standards and targets.</w:t>
            </w:r>
          </w:p>
          <w:p w14:paraId="5306C02D"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Ensure that all scheduling and timetabling activity is efficiently managed, liaising across teams to ensure that all needs are met effectively. </w:t>
            </w:r>
          </w:p>
          <w:p w14:paraId="45075C88"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Coll</w:t>
            </w:r>
            <w:r>
              <w:rPr>
                <w:rFonts w:ascii="Arial" w:hAnsi="Arial" w:cs="Arial"/>
                <w:bCs/>
                <w:sz w:val="22"/>
                <w:szCs w:val="22"/>
              </w:rPr>
              <w:t xml:space="preserve">aborate with stakeholders and contractors as required to integrate new learning solutions as appropriate to </w:t>
            </w:r>
            <w:proofErr w:type="spellStart"/>
            <w:r>
              <w:rPr>
                <w:rFonts w:ascii="Arial" w:hAnsi="Arial" w:cs="Arial"/>
                <w:bCs/>
                <w:sz w:val="22"/>
                <w:szCs w:val="22"/>
              </w:rPr>
              <w:t>maximise</w:t>
            </w:r>
            <w:proofErr w:type="spellEnd"/>
            <w:r>
              <w:rPr>
                <w:rFonts w:ascii="Arial" w:hAnsi="Arial" w:cs="Arial"/>
                <w:bCs/>
                <w:sz w:val="22"/>
                <w:szCs w:val="22"/>
              </w:rPr>
              <w:t xml:space="preserve"> learning impact. </w:t>
            </w:r>
          </w:p>
          <w:p w14:paraId="4675B39C"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Oversee the content management (on canvas) of electives and uploading </w:t>
            </w:r>
            <w:proofErr w:type="spellStart"/>
            <w:r>
              <w:rPr>
                <w:rFonts w:ascii="Arial" w:hAnsi="Arial" w:cs="Arial"/>
                <w:bCs/>
                <w:sz w:val="22"/>
                <w:szCs w:val="22"/>
              </w:rPr>
              <w:t>programme</w:t>
            </w:r>
            <w:proofErr w:type="spellEnd"/>
            <w:r>
              <w:rPr>
                <w:rFonts w:ascii="Arial" w:hAnsi="Arial" w:cs="Arial"/>
                <w:bCs/>
                <w:sz w:val="22"/>
                <w:szCs w:val="22"/>
              </w:rPr>
              <w:t>/ course information/outlines, learning re</w:t>
            </w:r>
            <w:r>
              <w:rPr>
                <w:rFonts w:ascii="Arial" w:hAnsi="Arial" w:cs="Arial"/>
                <w:bCs/>
                <w:sz w:val="22"/>
                <w:szCs w:val="22"/>
              </w:rPr>
              <w:t xml:space="preserve">sources, guides, purchase of copyright, ensuring the production of high-quality and high-impact materials.  </w:t>
            </w:r>
          </w:p>
          <w:p w14:paraId="2C783839"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Oversee and monitor elective </w:t>
            </w:r>
            <w:proofErr w:type="spellStart"/>
            <w:r>
              <w:rPr>
                <w:rFonts w:ascii="Arial" w:hAnsi="Arial" w:cs="Arial"/>
                <w:bCs/>
                <w:sz w:val="22"/>
                <w:szCs w:val="22"/>
              </w:rPr>
              <w:t>programmes</w:t>
            </w:r>
            <w:proofErr w:type="spellEnd"/>
            <w:r>
              <w:rPr>
                <w:rFonts w:ascii="Arial" w:hAnsi="Arial" w:cs="Arial"/>
                <w:bCs/>
                <w:sz w:val="22"/>
                <w:szCs w:val="22"/>
              </w:rPr>
              <w:t xml:space="preserve"> to ensure compliance with relevant external bodies. </w:t>
            </w:r>
          </w:p>
          <w:p w14:paraId="1B11A04D"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Overseeing course level communication for elective cou</w:t>
            </w:r>
            <w:r>
              <w:rPr>
                <w:rFonts w:ascii="Arial" w:hAnsi="Arial" w:cs="Arial"/>
                <w:bCs/>
                <w:sz w:val="22"/>
                <w:szCs w:val="22"/>
              </w:rPr>
              <w:t xml:space="preserve">rses; liaising closely with the </w:t>
            </w:r>
            <w:proofErr w:type="spellStart"/>
            <w:r>
              <w:rPr>
                <w:rFonts w:ascii="Arial" w:hAnsi="Arial" w:cs="Arial"/>
                <w:bCs/>
                <w:sz w:val="22"/>
                <w:szCs w:val="22"/>
              </w:rPr>
              <w:t>Programme</w:t>
            </w:r>
            <w:proofErr w:type="spellEnd"/>
            <w:r>
              <w:rPr>
                <w:rFonts w:ascii="Arial" w:hAnsi="Arial" w:cs="Arial"/>
                <w:bCs/>
                <w:sz w:val="22"/>
                <w:szCs w:val="22"/>
              </w:rPr>
              <w:t xml:space="preserve"> Offices for core courses.</w:t>
            </w:r>
          </w:p>
          <w:p w14:paraId="0E3F694A"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Oversee and monitor course delivery to ensure compliance with relevant academic policies and procedures.  </w:t>
            </w:r>
          </w:p>
          <w:p w14:paraId="31B70204"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Provide advice to colleagues and stakeholders on the interpretation of policies a</w:t>
            </w:r>
            <w:r>
              <w:rPr>
                <w:rFonts w:ascii="Arial" w:hAnsi="Arial" w:cs="Arial"/>
                <w:bCs/>
                <w:sz w:val="22"/>
                <w:szCs w:val="22"/>
              </w:rPr>
              <w:t xml:space="preserve">nd procedures and support monitoring, to ensure compliance across the </w:t>
            </w:r>
            <w:proofErr w:type="gramStart"/>
            <w:r>
              <w:rPr>
                <w:rFonts w:ascii="Arial" w:hAnsi="Arial" w:cs="Arial"/>
                <w:bCs/>
                <w:sz w:val="22"/>
                <w:szCs w:val="22"/>
              </w:rPr>
              <w:t>School</w:t>
            </w:r>
            <w:proofErr w:type="gramEnd"/>
            <w:r>
              <w:rPr>
                <w:rFonts w:ascii="Arial" w:hAnsi="Arial" w:cs="Arial"/>
                <w:bCs/>
                <w:sz w:val="22"/>
                <w:szCs w:val="22"/>
              </w:rPr>
              <w:t xml:space="preserve">. </w:t>
            </w:r>
          </w:p>
          <w:p w14:paraId="54D52DE4" w14:textId="77777777" w:rsidR="0050309E" w:rsidRDefault="00B717B1">
            <w:pPr>
              <w:autoSpaceDE w:val="0"/>
              <w:spacing w:before="100" w:after="100"/>
              <w:rPr>
                <w:rFonts w:ascii="Arial" w:hAnsi="Arial" w:cs="Arial"/>
                <w:b/>
              </w:rPr>
            </w:pPr>
            <w:r>
              <w:rPr>
                <w:rFonts w:ascii="Arial" w:hAnsi="Arial" w:cs="Arial"/>
                <w:b/>
                <w:sz w:val="22"/>
                <w:szCs w:val="22"/>
              </w:rPr>
              <w:t>Technical Knowledge (ongoing)</w:t>
            </w:r>
          </w:p>
          <w:p w14:paraId="114E66E3"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Research and keep </w:t>
            </w:r>
            <w:proofErr w:type="gramStart"/>
            <w:r>
              <w:rPr>
                <w:rFonts w:ascii="Arial" w:hAnsi="Arial" w:cs="Arial"/>
                <w:bCs/>
                <w:sz w:val="22"/>
                <w:szCs w:val="22"/>
              </w:rPr>
              <w:t>up-to-date</w:t>
            </w:r>
            <w:proofErr w:type="gramEnd"/>
            <w:r>
              <w:rPr>
                <w:rFonts w:ascii="Arial" w:hAnsi="Arial" w:cs="Arial"/>
                <w:bCs/>
                <w:sz w:val="22"/>
                <w:szCs w:val="22"/>
              </w:rPr>
              <w:t xml:space="preserve"> with industry and technological advancements and trends and use these to ensure that innovative and effective learning</w:t>
            </w:r>
            <w:r>
              <w:rPr>
                <w:rFonts w:ascii="Arial" w:hAnsi="Arial" w:cs="Arial"/>
                <w:bCs/>
                <w:sz w:val="22"/>
                <w:szCs w:val="22"/>
              </w:rPr>
              <w:t xml:space="preserve"> solutions are developed. </w:t>
            </w:r>
          </w:p>
          <w:p w14:paraId="07CDCAE4"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lastRenderedPageBreak/>
              <w:t xml:space="preserve">Develop deep understanding of London Business School and competitor offerings and use this knowledge to inform innovative and high-impact learning solutions. </w:t>
            </w:r>
          </w:p>
          <w:p w14:paraId="7CED37AF"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Supplier/Contractor Management (10%)</w:t>
            </w:r>
          </w:p>
          <w:p w14:paraId="337E30E2"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Recruit and monitor the quality o</w:t>
            </w:r>
            <w:r>
              <w:rPr>
                <w:rFonts w:ascii="Arial" w:hAnsi="Arial" w:cs="Arial"/>
                <w:bCs/>
                <w:sz w:val="22"/>
                <w:szCs w:val="22"/>
              </w:rPr>
              <w:t xml:space="preserve">f work delivered by third-party suppliers for teaching support. This includes recruitment and evaluation of teaching support staff- TAs, Graders, Tutors, Coaches. Liaising with Faculty HR team for accurate </w:t>
            </w:r>
          </w:p>
          <w:p w14:paraId="0B260EC5"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and timely informal payroll process.</w:t>
            </w:r>
          </w:p>
          <w:p w14:paraId="4E1145AD" w14:textId="77777777" w:rsidR="0050309E" w:rsidRDefault="00B717B1">
            <w:pPr>
              <w:autoSpaceDE w:val="0"/>
              <w:spacing w:before="100" w:after="100"/>
              <w:rPr>
                <w:rFonts w:ascii="Arial" w:hAnsi="Arial" w:cs="Arial"/>
                <w:b/>
              </w:rPr>
            </w:pPr>
            <w:r>
              <w:rPr>
                <w:rFonts w:ascii="Arial" w:hAnsi="Arial" w:cs="Arial"/>
                <w:b/>
                <w:sz w:val="22"/>
                <w:szCs w:val="22"/>
              </w:rPr>
              <w:t>Collaboratio</w:t>
            </w:r>
            <w:r>
              <w:rPr>
                <w:rFonts w:ascii="Arial" w:hAnsi="Arial" w:cs="Arial"/>
                <w:b/>
                <w:sz w:val="22"/>
                <w:szCs w:val="22"/>
              </w:rPr>
              <w:t>n and Relationship Management (ongoing)</w:t>
            </w:r>
          </w:p>
          <w:p w14:paraId="07AADAD6"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Represent the team to colleagues, </w:t>
            </w:r>
            <w:proofErr w:type="gramStart"/>
            <w:r>
              <w:rPr>
                <w:rFonts w:ascii="Arial" w:hAnsi="Arial" w:cs="Arial"/>
                <w:bCs/>
                <w:sz w:val="22"/>
                <w:szCs w:val="22"/>
              </w:rPr>
              <w:t>stakeholders</w:t>
            </w:r>
            <w:proofErr w:type="gramEnd"/>
            <w:r>
              <w:rPr>
                <w:rFonts w:ascii="Arial" w:hAnsi="Arial" w:cs="Arial"/>
                <w:bCs/>
                <w:sz w:val="22"/>
                <w:szCs w:val="22"/>
              </w:rPr>
              <w:t xml:space="preserve"> and cross-School groups, enabling cross-department working, identifying and initiating opportunities to collaborate for the best outcomes. </w:t>
            </w:r>
          </w:p>
          <w:p w14:paraId="409A072E"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Financial Management (10-20%)</w:t>
            </w:r>
          </w:p>
          <w:p w14:paraId="70123577"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Responsibility for subject area budgets, fulfilling financial management requirements and ensuring the cost-effective use of financial resources within budget. </w:t>
            </w:r>
          </w:p>
          <w:p w14:paraId="059A1A8F"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Operational responsibility for elective, grading and research budgets within the </w:t>
            </w:r>
            <w:r>
              <w:rPr>
                <w:rFonts w:ascii="Arial" w:hAnsi="Arial" w:cs="Arial"/>
                <w:bCs/>
                <w:sz w:val="22"/>
                <w:szCs w:val="22"/>
              </w:rPr>
              <w:t xml:space="preserve">Subject Area, fulfilling financial management requirements, providing reports and </w:t>
            </w:r>
            <w:proofErr w:type="gramStart"/>
            <w:r>
              <w:rPr>
                <w:rFonts w:ascii="Arial" w:hAnsi="Arial" w:cs="Arial"/>
                <w:bCs/>
                <w:sz w:val="22"/>
                <w:szCs w:val="22"/>
              </w:rPr>
              <w:t>updates</w:t>
            </w:r>
            <w:proofErr w:type="gramEnd"/>
            <w:r>
              <w:rPr>
                <w:rFonts w:ascii="Arial" w:hAnsi="Arial" w:cs="Arial"/>
                <w:bCs/>
                <w:sz w:val="22"/>
                <w:szCs w:val="22"/>
              </w:rPr>
              <w:t xml:space="preserve"> and ensuring the effective use of financial resources to produce value for money.  Liaison with </w:t>
            </w:r>
            <w:proofErr w:type="spellStart"/>
            <w:r>
              <w:rPr>
                <w:rFonts w:ascii="Arial" w:hAnsi="Arial" w:cs="Arial"/>
                <w:bCs/>
                <w:sz w:val="22"/>
                <w:szCs w:val="22"/>
              </w:rPr>
              <w:t>programme</w:t>
            </w:r>
            <w:proofErr w:type="spellEnd"/>
            <w:r>
              <w:rPr>
                <w:rFonts w:ascii="Arial" w:hAnsi="Arial" w:cs="Arial"/>
                <w:bCs/>
                <w:sz w:val="22"/>
                <w:szCs w:val="22"/>
              </w:rPr>
              <w:t xml:space="preserve"> offices to facilitate the same cost control for core courses</w:t>
            </w:r>
            <w:r>
              <w:rPr>
                <w:rFonts w:ascii="Arial" w:hAnsi="Arial" w:cs="Arial"/>
                <w:bCs/>
                <w:sz w:val="22"/>
                <w:szCs w:val="22"/>
              </w:rPr>
              <w:t>.</w:t>
            </w:r>
          </w:p>
          <w:p w14:paraId="03F98B09"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Close liaison with the RFO and retaining an overview of SA spending within Faculty Recruitment budgets.</w:t>
            </w:r>
          </w:p>
          <w:p w14:paraId="17579CC2"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Annual bidding and reporting on allocated budgets of the Research Fund in close cooperation with the RFO and SAC.</w:t>
            </w:r>
          </w:p>
          <w:p w14:paraId="172572B4"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Approving and monitoring PhD Individ</w:t>
            </w:r>
            <w:r>
              <w:rPr>
                <w:rFonts w:ascii="Arial" w:hAnsi="Arial" w:cs="Arial"/>
                <w:bCs/>
                <w:sz w:val="22"/>
                <w:szCs w:val="22"/>
              </w:rPr>
              <w:t>ual Student Budgets.</w:t>
            </w:r>
          </w:p>
          <w:p w14:paraId="12AE2E06" w14:textId="77777777" w:rsidR="0050309E" w:rsidRDefault="00B717B1">
            <w:pPr>
              <w:autoSpaceDE w:val="0"/>
              <w:spacing w:before="100" w:after="100"/>
              <w:rPr>
                <w:rFonts w:ascii="Arial" w:hAnsi="Arial" w:cs="Arial"/>
                <w:b/>
              </w:rPr>
            </w:pPr>
            <w:r>
              <w:rPr>
                <w:rFonts w:ascii="Arial" w:hAnsi="Arial" w:cs="Arial"/>
                <w:b/>
                <w:sz w:val="22"/>
                <w:szCs w:val="22"/>
              </w:rPr>
              <w:t>Research and Outreach</w:t>
            </w:r>
          </w:p>
          <w:p w14:paraId="3F284C5C"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Lead on research and outreach activities designed to expand the group’s research output and visibility within international scholar networks </w:t>
            </w:r>
            <w:proofErr w:type="gramStart"/>
            <w:r>
              <w:rPr>
                <w:rFonts w:ascii="Arial" w:hAnsi="Arial" w:cs="Arial"/>
                <w:bCs/>
                <w:sz w:val="22"/>
                <w:szCs w:val="22"/>
              </w:rPr>
              <w:t>including;  conferences</w:t>
            </w:r>
            <w:proofErr w:type="gramEnd"/>
            <w:r>
              <w:rPr>
                <w:rFonts w:ascii="Arial" w:hAnsi="Arial" w:cs="Arial"/>
                <w:bCs/>
                <w:sz w:val="22"/>
                <w:szCs w:val="22"/>
              </w:rPr>
              <w:t xml:space="preserve">, research seminars and specific research events </w:t>
            </w:r>
            <w:r>
              <w:rPr>
                <w:rFonts w:ascii="Arial" w:hAnsi="Arial" w:cs="Arial"/>
                <w:bCs/>
                <w:sz w:val="22"/>
                <w:szCs w:val="22"/>
              </w:rPr>
              <w:t>open to internal as well as external scholars and doctoral students.</w:t>
            </w:r>
          </w:p>
          <w:p w14:paraId="08063766"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When required procure the design of materials to be used in events and other initiatives, ensuring it meets or exceeds faculty/student requirements.</w:t>
            </w:r>
          </w:p>
          <w:p w14:paraId="7187EC97" w14:textId="77777777" w:rsidR="0050309E" w:rsidRDefault="00B717B1">
            <w:pPr>
              <w:autoSpaceDE w:val="0"/>
              <w:spacing w:before="100" w:after="100"/>
              <w:rPr>
                <w:rFonts w:ascii="Arial" w:hAnsi="Arial" w:cs="Arial"/>
                <w:b/>
              </w:rPr>
            </w:pPr>
            <w:r>
              <w:rPr>
                <w:rFonts w:ascii="Arial" w:hAnsi="Arial" w:cs="Arial"/>
                <w:b/>
                <w:sz w:val="22"/>
                <w:szCs w:val="22"/>
              </w:rPr>
              <w:t xml:space="preserve">Faculty Recruitment </w:t>
            </w:r>
          </w:p>
          <w:p w14:paraId="068C40F7"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Support the SAC i</w:t>
            </w:r>
            <w:r>
              <w:rPr>
                <w:rFonts w:ascii="Arial" w:hAnsi="Arial" w:cs="Arial"/>
                <w:bCs/>
                <w:sz w:val="22"/>
                <w:szCs w:val="22"/>
              </w:rPr>
              <w:t>n the faculty recruitment process taking the lead on key activities, liaising with the Research and Faculty Office regarding appointment processes and identifying requirements for visiting faculty.</w:t>
            </w:r>
          </w:p>
          <w:p w14:paraId="4DA4EA9E"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Where required, </w:t>
            </w:r>
            <w:proofErr w:type="spellStart"/>
            <w:r>
              <w:rPr>
                <w:rFonts w:ascii="Arial" w:hAnsi="Arial" w:cs="Arial"/>
                <w:bCs/>
                <w:sz w:val="22"/>
                <w:szCs w:val="22"/>
              </w:rPr>
              <w:t>organise</w:t>
            </w:r>
            <w:proofErr w:type="spellEnd"/>
            <w:r>
              <w:rPr>
                <w:rFonts w:ascii="Arial" w:hAnsi="Arial" w:cs="Arial"/>
                <w:bCs/>
                <w:sz w:val="22"/>
                <w:szCs w:val="22"/>
              </w:rPr>
              <w:t xml:space="preserve"> faculty recruitment conference at</w:t>
            </w:r>
            <w:r>
              <w:rPr>
                <w:rFonts w:ascii="Arial" w:hAnsi="Arial" w:cs="Arial"/>
                <w:bCs/>
                <w:sz w:val="22"/>
                <w:szCs w:val="22"/>
              </w:rPr>
              <w:t xml:space="preserve">tendance, fly-outs, </w:t>
            </w:r>
            <w:proofErr w:type="gramStart"/>
            <w:r>
              <w:rPr>
                <w:rFonts w:ascii="Arial" w:hAnsi="Arial" w:cs="Arial"/>
                <w:bCs/>
                <w:sz w:val="22"/>
                <w:szCs w:val="22"/>
              </w:rPr>
              <w:t>seminars</w:t>
            </w:r>
            <w:proofErr w:type="gramEnd"/>
            <w:r>
              <w:rPr>
                <w:rFonts w:ascii="Arial" w:hAnsi="Arial" w:cs="Arial"/>
                <w:bCs/>
                <w:sz w:val="22"/>
                <w:szCs w:val="22"/>
              </w:rPr>
              <w:t xml:space="preserve"> and all subsequent departmental coordination for junior recruitment.</w:t>
            </w:r>
          </w:p>
          <w:p w14:paraId="4AC993A7"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Manage all aspects of senior recruitment, </w:t>
            </w:r>
            <w:proofErr w:type="gramStart"/>
            <w:r>
              <w:rPr>
                <w:rFonts w:ascii="Arial" w:hAnsi="Arial" w:cs="Arial"/>
                <w:bCs/>
                <w:sz w:val="22"/>
                <w:szCs w:val="22"/>
              </w:rPr>
              <w:t>i.e.</w:t>
            </w:r>
            <w:proofErr w:type="gramEnd"/>
            <w:r>
              <w:rPr>
                <w:rFonts w:ascii="Arial" w:hAnsi="Arial" w:cs="Arial"/>
                <w:bCs/>
                <w:sz w:val="22"/>
                <w:szCs w:val="22"/>
              </w:rPr>
              <w:t xml:space="preserve"> keeping in touch with potential senior faculty recruits, </w:t>
            </w:r>
            <w:proofErr w:type="spellStart"/>
            <w:r>
              <w:rPr>
                <w:rFonts w:ascii="Arial" w:hAnsi="Arial" w:cs="Arial"/>
                <w:bCs/>
                <w:sz w:val="22"/>
                <w:szCs w:val="22"/>
              </w:rPr>
              <w:t>organising</w:t>
            </w:r>
            <w:proofErr w:type="spellEnd"/>
            <w:r>
              <w:rPr>
                <w:rFonts w:ascii="Arial" w:hAnsi="Arial" w:cs="Arial"/>
                <w:bCs/>
                <w:sz w:val="22"/>
                <w:szCs w:val="22"/>
              </w:rPr>
              <w:t xml:space="preserve"> visits, accommodation and oversee all finan</w:t>
            </w:r>
            <w:r>
              <w:rPr>
                <w:rFonts w:ascii="Arial" w:hAnsi="Arial" w:cs="Arial"/>
                <w:bCs/>
                <w:sz w:val="22"/>
                <w:szCs w:val="22"/>
              </w:rPr>
              <w:t>cial aspects of senior recruitment.</w:t>
            </w:r>
          </w:p>
          <w:p w14:paraId="323248DB"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Support the onboarding of new faculty in subject area.</w:t>
            </w:r>
          </w:p>
          <w:p w14:paraId="4E21D592" w14:textId="77777777" w:rsidR="0050309E" w:rsidRDefault="00B717B1">
            <w:pPr>
              <w:autoSpaceDE w:val="0"/>
              <w:spacing w:before="100" w:after="100"/>
              <w:rPr>
                <w:rFonts w:ascii="Arial" w:hAnsi="Arial" w:cs="Arial"/>
                <w:b/>
              </w:rPr>
            </w:pPr>
            <w:r>
              <w:rPr>
                <w:rFonts w:ascii="Arial" w:hAnsi="Arial" w:cs="Arial"/>
                <w:b/>
                <w:sz w:val="22"/>
                <w:szCs w:val="22"/>
              </w:rPr>
              <w:t>PhD Recruitment</w:t>
            </w:r>
          </w:p>
          <w:p w14:paraId="030B1DFB"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In cooperation with the PhD </w:t>
            </w:r>
            <w:proofErr w:type="spellStart"/>
            <w:r>
              <w:rPr>
                <w:rFonts w:ascii="Arial" w:hAnsi="Arial" w:cs="Arial"/>
                <w:bCs/>
                <w:sz w:val="22"/>
                <w:szCs w:val="22"/>
              </w:rPr>
              <w:t>Programme</w:t>
            </w:r>
            <w:proofErr w:type="spellEnd"/>
            <w:r>
              <w:rPr>
                <w:rFonts w:ascii="Arial" w:hAnsi="Arial" w:cs="Arial"/>
                <w:bCs/>
                <w:sz w:val="22"/>
                <w:szCs w:val="22"/>
              </w:rPr>
              <w:t xml:space="preserve"> Office and the subject area PhD </w:t>
            </w:r>
            <w:proofErr w:type="spellStart"/>
            <w:r>
              <w:rPr>
                <w:rFonts w:ascii="Arial" w:hAnsi="Arial" w:cs="Arial"/>
                <w:bCs/>
                <w:sz w:val="22"/>
                <w:szCs w:val="22"/>
              </w:rPr>
              <w:t>programme</w:t>
            </w:r>
            <w:proofErr w:type="spellEnd"/>
            <w:r>
              <w:rPr>
                <w:rFonts w:ascii="Arial" w:hAnsi="Arial" w:cs="Arial"/>
                <w:bCs/>
                <w:sz w:val="22"/>
                <w:szCs w:val="22"/>
              </w:rPr>
              <w:t xml:space="preserve"> coordinator, co-ordination of candidate recruitment, </w:t>
            </w:r>
            <w:proofErr w:type="spellStart"/>
            <w:r>
              <w:rPr>
                <w:rFonts w:ascii="Arial" w:hAnsi="Arial" w:cs="Arial"/>
                <w:bCs/>
                <w:sz w:val="22"/>
                <w:szCs w:val="22"/>
              </w:rPr>
              <w:t>organising</w:t>
            </w:r>
            <w:proofErr w:type="spellEnd"/>
            <w:r>
              <w:rPr>
                <w:rFonts w:ascii="Arial" w:hAnsi="Arial" w:cs="Arial"/>
                <w:bCs/>
                <w:sz w:val="22"/>
                <w:szCs w:val="22"/>
              </w:rPr>
              <w:t xml:space="preserve"> campu</w:t>
            </w:r>
            <w:r>
              <w:rPr>
                <w:rFonts w:ascii="Arial" w:hAnsi="Arial" w:cs="Arial"/>
                <w:bCs/>
                <w:sz w:val="22"/>
                <w:szCs w:val="22"/>
              </w:rPr>
              <w:t xml:space="preserve">s and/or Skype interviews with Faculty. </w:t>
            </w:r>
          </w:p>
          <w:p w14:paraId="5C89D4CA"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lastRenderedPageBreak/>
              <w:t>Progress monitoring of current students, and provision of support for transfer and viva examinations.</w:t>
            </w:r>
          </w:p>
          <w:p w14:paraId="2EB5227A"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Ensure students meet individual departmental guidelines and monitor RA/TA days/hours owed to department.</w:t>
            </w:r>
          </w:p>
          <w:p w14:paraId="75F86BAC"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Maintain</w:t>
            </w:r>
            <w:r>
              <w:rPr>
                <w:rFonts w:ascii="Arial" w:hAnsi="Arial" w:cs="Arial"/>
                <w:bCs/>
                <w:sz w:val="22"/>
                <w:szCs w:val="22"/>
              </w:rPr>
              <w:t xml:space="preserve"> all departmental/student relationship, and in cooperation with the PhD </w:t>
            </w:r>
            <w:proofErr w:type="spellStart"/>
            <w:r>
              <w:rPr>
                <w:rFonts w:ascii="Arial" w:hAnsi="Arial" w:cs="Arial"/>
                <w:bCs/>
                <w:sz w:val="22"/>
                <w:szCs w:val="22"/>
              </w:rPr>
              <w:t>programme</w:t>
            </w:r>
            <w:proofErr w:type="spellEnd"/>
            <w:r>
              <w:rPr>
                <w:rFonts w:ascii="Arial" w:hAnsi="Arial" w:cs="Arial"/>
                <w:bCs/>
                <w:sz w:val="22"/>
                <w:szCs w:val="22"/>
              </w:rPr>
              <w:t xml:space="preserve"> office, ensure PhD students have access to support and resources as required to enable the most effective learning experience.</w:t>
            </w:r>
          </w:p>
          <w:p w14:paraId="56479F04" w14:textId="77777777" w:rsidR="0050309E" w:rsidRDefault="0050309E">
            <w:pPr>
              <w:pStyle w:val="ListParagraph"/>
              <w:numPr>
                <w:ilvl w:val="0"/>
                <w:numId w:val="0"/>
              </w:numPr>
              <w:autoSpaceDE w:val="0"/>
              <w:spacing w:before="100" w:after="100"/>
              <w:ind w:left="360" w:hanging="360"/>
              <w:rPr>
                <w:rFonts w:ascii="Arial" w:hAnsi="Arial" w:cs="Arial"/>
                <w:bCs/>
              </w:rPr>
            </w:pPr>
          </w:p>
          <w:p w14:paraId="14AC4E46" w14:textId="77777777" w:rsidR="0050309E" w:rsidRDefault="00B717B1">
            <w:pPr>
              <w:autoSpaceDE w:val="0"/>
              <w:spacing w:before="100" w:after="100"/>
              <w:rPr>
                <w:rFonts w:ascii="Arial" w:hAnsi="Arial" w:cs="Arial"/>
                <w:b/>
              </w:rPr>
            </w:pPr>
            <w:r>
              <w:rPr>
                <w:rFonts w:ascii="Arial" w:hAnsi="Arial" w:cs="Arial"/>
                <w:b/>
                <w:sz w:val="22"/>
                <w:szCs w:val="22"/>
              </w:rPr>
              <w:t>People Management (ongoing)</w:t>
            </w:r>
          </w:p>
          <w:p w14:paraId="31438389"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Lead and </w:t>
            </w:r>
            <w:r>
              <w:rPr>
                <w:rFonts w:ascii="Arial" w:hAnsi="Arial" w:cs="Arial"/>
                <w:bCs/>
                <w:sz w:val="22"/>
                <w:szCs w:val="22"/>
              </w:rPr>
              <w:t>motivate a team of faculty assistants to deliver the operational plans within subject area.</w:t>
            </w:r>
          </w:p>
          <w:p w14:paraId="0619E9C7"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Set and develop appropriate culture for the team, through role modelling the </w:t>
            </w:r>
            <w:proofErr w:type="gramStart"/>
            <w:r>
              <w:rPr>
                <w:rFonts w:ascii="Arial" w:hAnsi="Arial" w:cs="Arial"/>
                <w:bCs/>
                <w:sz w:val="22"/>
                <w:szCs w:val="22"/>
              </w:rPr>
              <w:t>School’s</w:t>
            </w:r>
            <w:proofErr w:type="gramEnd"/>
            <w:r>
              <w:rPr>
                <w:rFonts w:ascii="Arial" w:hAnsi="Arial" w:cs="Arial"/>
                <w:bCs/>
                <w:sz w:val="22"/>
                <w:szCs w:val="22"/>
              </w:rPr>
              <w:t xml:space="preserve"> values, setting </w:t>
            </w:r>
            <w:proofErr w:type="spellStart"/>
            <w:r>
              <w:rPr>
                <w:rFonts w:ascii="Arial" w:hAnsi="Arial" w:cs="Arial"/>
                <w:bCs/>
                <w:sz w:val="22"/>
                <w:szCs w:val="22"/>
              </w:rPr>
              <w:t>behavioural</w:t>
            </w:r>
            <w:proofErr w:type="spellEnd"/>
            <w:r>
              <w:rPr>
                <w:rFonts w:ascii="Arial" w:hAnsi="Arial" w:cs="Arial"/>
                <w:bCs/>
                <w:sz w:val="22"/>
                <w:szCs w:val="22"/>
              </w:rPr>
              <w:t xml:space="preserve"> expectations and supporting team wellbeing. Ensure</w:t>
            </w:r>
            <w:r>
              <w:rPr>
                <w:rFonts w:ascii="Arial" w:hAnsi="Arial" w:cs="Arial"/>
                <w:bCs/>
                <w:sz w:val="22"/>
                <w:szCs w:val="22"/>
              </w:rPr>
              <w:t xml:space="preserve"> team are aware of and comply with all relevant policies and procedures.</w:t>
            </w:r>
          </w:p>
          <w:p w14:paraId="2B2A23F4"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Define and communicate the team’s priorities and workload, in line with the wider Departmental priorities. Manage performance/achievement/engagement to ensure that the team achieves i</w:t>
            </w:r>
            <w:r>
              <w:rPr>
                <w:rFonts w:ascii="Arial" w:hAnsi="Arial" w:cs="Arial"/>
                <w:bCs/>
                <w:sz w:val="22"/>
                <w:szCs w:val="22"/>
              </w:rPr>
              <w:t>ndividual priorities and collaborates with colleagues to achieve wider goals.</w:t>
            </w:r>
          </w:p>
          <w:p w14:paraId="0AB20503"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Promote learning and professional development opportunities</w:t>
            </w:r>
          </w:p>
          <w:p w14:paraId="6A76EE7F" w14:textId="77777777" w:rsidR="0050309E" w:rsidRDefault="00B717B1">
            <w:pPr>
              <w:autoSpaceDE w:val="0"/>
              <w:spacing w:before="100" w:after="100"/>
              <w:rPr>
                <w:rFonts w:ascii="Arial" w:hAnsi="Arial" w:cs="Arial"/>
                <w:b/>
              </w:rPr>
            </w:pPr>
            <w:r>
              <w:rPr>
                <w:rFonts w:ascii="Arial" w:hAnsi="Arial" w:cs="Arial"/>
                <w:b/>
                <w:sz w:val="22"/>
                <w:szCs w:val="22"/>
              </w:rPr>
              <w:t xml:space="preserve">Change Management (20%) </w:t>
            </w:r>
          </w:p>
          <w:p w14:paraId="6FA876FE"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Champion change by role modelling the </w:t>
            </w:r>
            <w:proofErr w:type="spellStart"/>
            <w:r>
              <w:rPr>
                <w:rFonts w:ascii="Arial" w:hAnsi="Arial" w:cs="Arial"/>
                <w:bCs/>
                <w:sz w:val="22"/>
                <w:szCs w:val="22"/>
              </w:rPr>
              <w:t>behaviour</w:t>
            </w:r>
            <w:proofErr w:type="spellEnd"/>
            <w:r>
              <w:rPr>
                <w:rFonts w:ascii="Arial" w:hAnsi="Arial" w:cs="Arial"/>
                <w:bCs/>
                <w:sz w:val="22"/>
                <w:szCs w:val="22"/>
              </w:rPr>
              <w:t xml:space="preserve"> expected from all colleagues, and </w:t>
            </w:r>
            <w:r>
              <w:rPr>
                <w:rFonts w:ascii="Arial" w:hAnsi="Arial" w:cs="Arial"/>
                <w:bCs/>
                <w:sz w:val="22"/>
                <w:szCs w:val="22"/>
              </w:rPr>
              <w:t xml:space="preserve">consider the impact of change on all processes, </w:t>
            </w:r>
            <w:proofErr w:type="gramStart"/>
            <w:r>
              <w:rPr>
                <w:rFonts w:ascii="Arial" w:hAnsi="Arial" w:cs="Arial"/>
                <w:bCs/>
                <w:sz w:val="22"/>
                <w:szCs w:val="22"/>
              </w:rPr>
              <w:t>systems</w:t>
            </w:r>
            <w:proofErr w:type="gramEnd"/>
            <w:r>
              <w:rPr>
                <w:rFonts w:ascii="Arial" w:hAnsi="Arial" w:cs="Arial"/>
                <w:bCs/>
                <w:sz w:val="22"/>
                <w:szCs w:val="22"/>
              </w:rPr>
              <w:t xml:space="preserve"> and people to ensure appropriate steps are taken for successful implementation.</w:t>
            </w:r>
          </w:p>
          <w:p w14:paraId="2CE9EDF4" w14:textId="77777777" w:rsidR="0050309E" w:rsidRDefault="00B717B1">
            <w:pPr>
              <w:autoSpaceDE w:val="0"/>
              <w:spacing w:before="100" w:after="100"/>
              <w:rPr>
                <w:rFonts w:ascii="Arial" w:hAnsi="Arial" w:cs="Arial"/>
                <w:b/>
              </w:rPr>
            </w:pPr>
            <w:r>
              <w:rPr>
                <w:rFonts w:ascii="Arial" w:hAnsi="Arial" w:cs="Arial"/>
                <w:b/>
                <w:sz w:val="22"/>
                <w:szCs w:val="22"/>
              </w:rPr>
              <w:t>KPIs:</w:t>
            </w:r>
          </w:p>
          <w:p w14:paraId="255A70E6"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Delivery of high-quality service in subject area. </w:t>
            </w:r>
          </w:p>
          <w:p w14:paraId="19A9F76E"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Quality of recommendations and input into wider strategic and o</w:t>
            </w:r>
            <w:r>
              <w:rPr>
                <w:rFonts w:ascii="Arial" w:hAnsi="Arial" w:cs="Arial"/>
                <w:bCs/>
                <w:sz w:val="22"/>
                <w:szCs w:val="22"/>
              </w:rPr>
              <w:t xml:space="preserve">perational planning. </w:t>
            </w:r>
          </w:p>
          <w:p w14:paraId="28860291"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Development of solutions and improvements to complex problems within own area of specialism. </w:t>
            </w:r>
          </w:p>
          <w:p w14:paraId="381D32B8"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Production of high-quality reports, with complex analysis to support management decision-making. </w:t>
            </w:r>
          </w:p>
          <w:p w14:paraId="532F7F9B"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Contribution to the successful delivery of</w:t>
            </w:r>
            <w:r>
              <w:rPr>
                <w:rFonts w:ascii="Arial" w:hAnsi="Arial" w:cs="Arial"/>
                <w:bCs/>
                <w:sz w:val="22"/>
                <w:szCs w:val="22"/>
              </w:rPr>
              <w:t xml:space="preserve"> learning initiatives. </w:t>
            </w:r>
          </w:p>
          <w:p w14:paraId="603F3114"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Effective resource management and quality/timeliness of support provided to faculty/colleagues. </w:t>
            </w:r>
          </w:p>
          <w:p w14:paraId="734AA8F3"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High-quality work delivered by third-party contractors and agencies. </w:t>
            </w:r>
          </w:p>
          <w:p w14:paraId="12406692"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Projects/</w:t>
            </w:r>
            <w:proofErr w:type="spellStart"/>
            <w:r>
              <w:rPr>
                <w:rFonts w:ascii="Arial" w:hAnsi="Arial" w:cs="Arial"/>
                <w:bCs/>
                <w:sz w:val="22"/>
                <w:szCs w:val="22"/>
              </w:rPr>
              <w:t>programmes</w:t>
            </w:r>
            <w:proofErr w:type="spellEnd"/>
            <w:r>
              <w:rPr>
                <w:rFonts w:ascii="Arial" w:hAnsi="Arial" w:cs="Arial"/>
                <w:bCs/>
                <w:sz w:val="22"/>
                <w:szCs w:val="22"/>
              </w:rPr>
              <w:t xml:space="preserve"> delivered on time, on budget and to quality s</w:t>
            </w:r>
            <w:r>
              <w:rPr>
                <w:rFonts w:ascii="Arial" w:hAnsi="Arial" w:cs="Arial"/>
                <w:bCs/>
                <w:sz w:val="22"/>
                <w:szCs w:val="22"/>
              </w:rPr>
              <w:t xml:space="preserve">tandards. </w:t>
            </w:r>
          </w:p>
          <w:p w14:paraId="4BAB9EEB"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Strong cross team working relationships with key stakeholders. </w:t>
            </w:r>
          </w:p>
          <w:p w14:paraId="11FC79D6"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Positive feedback from students, </w:t>
            </w:r>
            <w:proofErr w:type="gramStart"/>
            <w:r>
              <w:rPr>
                <w:rFonts w:ascii="Arial" w:hAnsi="Arial" w:cs="Arial"/>
                <w:bCs/>
                <w:sz w:val="22"/>
                <w:szCs w:val="22"/>
              </w:rPr>
              <w:t>colleagues</w:t>
            </w:r>
            <w:proofErr w:type="gramEnd"/>
            <w:r>
              <w:rPr>
                <w:rFonts w:ascii="Arial" w:hAnsi="Arial" w:cs="Arial"/>
                <w:bCs/>
                <w:sz w:val="22"/>
                <w:szCs w:val="22"/>
              </w:rPr>
              <w:t xml:space="preserve"> and stakeholders. </w:t>
            </w:r>
          </w:p>
          <w:p w14:paraId="1DDABFC4"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Improvements in relevant </w:t>
            </w:r>
            <w:proofErr w:type="spellStart"/>
            <w:r>
              <w:rPr>
                <w:rFonts w:ascii="Arial" w:hAnsi="Arial" w:cs="Arial"/>
                <w:bCs/>
                <w:sz w:val="22"/>
                <w:szCs w:val="22"/>
              </w:rPr>
              <w:t>programme</w:t>
            </w:r>
            <w:proofErr w:type="spellEnd"/>
            <w:r>
              <w:rPr>
                <w:rFonts w:ascii="Arial" w:hAnsi="Arial" w:cs="Arial"/>
                <w:bCs/>
                <w:sz w:val="22"/>
                <w:szCs w:val="22"/>
              </w:rPr>
              <w:t xml:space="preserve"> performance.</w:t>
            </w:r>
          </w:p>
          <w:p w14:paraId="6BFB7E71" w14:textId="77777777" w:rsidR="0050309E" w:rsidRDefault="0050309E">
            <w:pPr>
              <w:pStyle w:val="ListParagraph"/>
              <w:numPr>
                <w:ilvl w:val="0"/>
                <w:numId w:val="0"/>
              </w:numPr>
              <w:autoSpaceDE w:val="0"/>
              <w:spacing w:before="100" w:after="100"/>
              <w:ind w:left="360" w:hanging="360"/>
              <w:rPr>
                <w:rFonts w:ascii="Arial" w:hAnsi="Arial" w:cs="Arial"/>
                <w:bCs/>
              </w:rPr>
            </w:pPr>
          </w:p>
        </w:tc>
      </w:tr>
    </w:tbl>
    <w:p w14:paraId="5D25CDC6" w14:textId="77777777" w:rsidR="0050309E" w:rsidRDefault="0050309E">
      <w:pPr>
        <w:spacing w:before="100" w:after="100"/>
        <w:rPr>
          <w:rFonts w:ascii="Arial" w:hAnsi="Arial" w:cs="Arial"/>
          <w:b/>
          <w:color w:val="001E62"/>
          <w:sz w:val="22"/>
          <w:szCs w:val="22"/>
        </w:rPr>
      </w:pPr>
    </w:p>
    <w:p w14:paraId="0E53FF99" w14:textId="77777777" w:rsidR="0050309E" w:rsidRDefault="0050309E">
      <w:pPr>
        <w:spacing w:before="100" w:after="100"/>
        <w:rPr>
          <w:rFonts w:ascii="Arial" w:hAnsi="Arial" w:cs="Arial"/>
          <w:sz w:val="22"/>
          <w:szCs w:val="22"/>
          <w:lang w:eastAsia="ja-JP"/>
        </w:rPr>
      </w:pPr>
    </w:p>
    <w:p w14:paraId="47813BD1" w14:textId="77777777" w:rsidR="0050309E" w:rsidRDefault="0050309E">
      <w:pPr>
        <w:spacing w:before="100" w:after="100"/>
        <w:rPr>
          <w:rFonts w:ascii="Arial" w:hAnsi="Arial" w:cs="Arial"/>
          <w:sz w:val="22"/>
          <w:szCs w:val="22"/>
        </w:rPr>
      </w:pPr>
    </w:p>
    <w:p w14:paraId="43E09359" w14:textId="77777777" w:rsidR="0050309E" w:rsidRDefault="0050309E">
      <w:pPr>
        <w:spacing w:before="100" w:after="100"/>
        <w:rPr>
          <w:rFonts w:ascii="Arial" w:hAnsi="Arial" w:cs="Arial"/>
          <w:sz w:val="22"/>
          <w:szCs w:val="22"/>
        </w:rPr>
      </w:pPr>
    </w:p>
    <w:p w14:paraId="19818FAE" w14:textId="77777777" w:rsidR="0050309E" w:rsidRDefault="0050309E">
      <w:pPr>
        <w:spacing w:before="100" w:after="100"/>
        <w:rPr>
          <w:rFonts w:ascii="Arial" w:hAnsi="Arial" w:cs="Arial"/>
          <w:sz w:val="22"/>
          <w:szCs w:val="22"/>
        </w:rPr>
      </w:pPr>
    </w:p>
    <w:p w14:paraId="1A71D197" w14:textId="77777777" w:rsidR="0050309E" w:rsidRDefault="0050309E">
      <w:pPr>
        <w:spacing w:before="100" w:after="100"/>
        <w:rPr>
          <w:rFonts w:ascii="Arial" w:hAnsi="Arial" w:cs="Arial"/>
          <w:sz w:val="22"/>
          <w:szCs w:val="22"/>
        </w:rPr>
      </w:pPr>
    </w:p>
    <w:p w14:paraId="1B825D5B" w14:textId="77777777" w:rsidR="0050309E" w:rsidRDefault="0050309E">
      <w:pPr>
        <w:spacing w:before="100" w:after="100"/>
        <w:rPr>
          <w:rFonts w:ascii="Arial" w:hAnsi="Arial" w:cs="Arial"/>
          <w:sz w:val="22"/>
          <w:szCs w:val="22"/>
        </w:rPr>
      </w:pPr>
    </w:p>
    <w:p w14:paraId="73443B2E" w14:textId="77777777" w:rsidR="0050309E" w:rsidRDefault="0050309E">
      <w:pPr>
        <w:spacing w:before="100" w:after="100"/>
        <w:rPr>
          <w:rFonts w:ascii="Arial" w:hAnsi="Arial" w:cs="Arial"/>
          <w:color w:val="002060"/>
          <w:sz w:val="22"/>
          <w:szCs w:val="22"/>
          <w:lang w:val="en-GB"/>
        </w:rPr>
      </w:pPr>
    </w:p>
    <w:p w14:paraId="1B9F4CB9" w14:textId="77777777" w:rsidR="0050309E" w:rsidRDefault="0050309E">
      <w:pPr>
        <w:spacing w:before="100" w:after="100"/>
        <w:rPr>
          <w:rFonts w:ascii="Arial" w:hAnsi="Arial" w:cs="Arial"/>
          <w:color w:val="002060"/>
          <w:sz w:val="22"/>
          <w:szCs w:val="22"/>
          <w:lang w:val="en-GB"/>
        </w:rPr>
      </w:pPr>
    </w:p>
    <w:p w14:paraId="494F162B" w14:textId="77777777" w:rsidR="0050309E" w:rsidRDefault="0050309E">
      <w:pPr>
        <w:spacing w:before="100" w:after="100"/>
        <w:rPr>
          <w:rFonts w:ascii="Arial" w:hAnsi="Arial" w:cs="Arial"/>
          <w:color w:val="002060"/>
          <w:sz w:val="22"/>
          <w:szCs w:val="22"/>
          <w:lang w:val="en-GB"/>
        </w:rPr>
      </w:pPr>
    </w:p>
    <w:p w14:paraId="7A125BF7" w14:textId="77777777" w:rsidR="0050309E" w:rsidRDefault="0050309E">
      <w:pPr>
        <w:spacing w:before="100" w:after="100"/>
        <w:rPr>
          <w:rFonts w:ascii="Arial" w:hAnsi="Arial" w:cs="Arial"/>
          <w:color w:val="002060"/>
          <w:sz w:val="22"/>
          <w:szCs w:val="22"/>
          <w:lang w:val="en-GB"/>
        </w:rPr>
      </w:pPr>
    </w:p>
    <w:p w14:paraId="2D5F0599" w14:textId="77777777" w:rsidR="0050309E" w:rsidRDefault="0050309E">
      <w:pPr>
        <w:spacing w:before="100" w:after="100"/>
        <w:rPr>
          <w:rFonts w:ascii="Arial" w:hAnsi="Arial" w:cs="Arial"/>
          <w:color w:val="002060"/>
          <w:sz w:val="22"/>
          <w:szCs w:val="22"/>
          <w:lang w:val="en-GB"/>
        </w:rPr>
      </w:pPr>
    </w:p>
    <w:p w14:paraId="31668398" w14:textId="77777777" w:rsidR="0050309E" w:rsidRDefault="0050309E">
      <w:pPr>
        <w:spacing w:before="100" w:after="100"/>
        <w:rPr>
          <w:rFonts w:ascii="Arial" w:hAnsi="Arial" w:cs="Arial"/>
          <w:color w:val="002060"/>
          <w:sz w:val="22"/>
          <w:szCs w:val="22"/>
          <w:lang w:val="en-GB"/>
        </w:rPr>
      </w:pPr>
    </w:p>
    <w:p w14:paraId="44D31CDC" w14:textId="77777777" w:rsidR="0050309E" w:rsidRDefault="0050309E">
      <w:pPr>
        <w:spacing w:before="100" w:after="100"/>
        <w:rPr>
          <w:rFonts w:ascii="Arial" w:hAnsi="Arial" w:cs="Arial"/>
          <w:color w:val="002060"/>
          <w:sz w:val="22"/>
          <w:szCs w:val="22"/>
          <w:lang w:val="en-GB"/>
        </w:rPr>
      </w:pPr>
    </w:p>
    <w:tbl>
      <w:tblPr>
        <w:tblW w:w="8641" w:type="dxa"/>
        <w:tblCellMar>
          <w:left w:w="10" w:type="dxa"/>
          <w:right w:w="10" w:type="dxa"/>
        </w:tblCellMar>
        <w:tblLook w:val="0000" w:firstRow="0" w:lastRow="0" w:firstColumn="0" w:lastColumn="0" w:noHBand="0" w:noVBand="0"/>
      </w:tblPr>
      <w:tblGrid>
        <w:gridCol w:w="8641"/>
      </w:tblGrid>
      <w:tr w:rsidR="0050309E" w14:paraId="10677D58" w14:textId="77777777">
        <w:tblPrEx>
          <w:tblCellMar>
            <w:top w:w="0" w:type="dxa"/>
            <w:bottom w:w="0" w:type="dxa"/>
          </w:tblCellMar>
        </w:tblPrEx>
        <w:trPr>
          <w:trHeight w:val="416"/>
        </w:trPr>
        <w:tc>
          <w:tcPr>
            <w:tcW w:w="8641" w:type="dxa"/>
            <w:tcBorders>
              <w:top w:val="single" w:sz="4" w:space="0" w:color="000000"/>
              <w:left w:val="single" w:sz="4" w:space="0" w:color="000000"/>
              <w:bottom w:val="single" w:sz="4" w:space="0" w:color="000000"/>
              <w:right w:val="single" w:sz="4" w:space="0" w:color="000000"/>
            </w:tcBorders>
            <w:shd w:val="clear" w:color="auto" w:fill="001E62"/>
            <w:tcMar>
              <w:top w:w="0" w:type="dxa"/>
              <w:left w:w="108" w:type="dxa"/>
              <w:bottom w:w="0" w:type="dxa"/>
              <w:right w:w="108" w:type="dxa"/>
            </w:tcMar>
          </w:tcPr>
          <w:p w14:paraId="7206F810" w14:textId="77777777" w:rsidR="0050309E" w:rsidRDefault="00B717B1">
            <w:pPr>
              <w:spacing w:before="100" w:after="100"/>
            </w:pPr>
            <w:r>
              <w:rPr>
                <w:rFonts w:ascii="Arial" w:hAnsi="Arial" w:cs="Arial"/>
                <w:bCs/>
                <w:color w:val="FFFFFF"/>
                <w:sz w:val="22"/>
                <w:szCs w:val="22"/>
              </w:rPr>
              <w:t xml:space="preserve">Knowledge/Qualifications/Skills/Experience required </w:t>
            </w:r>
          </w:p>
        </w:tc>
      </w:tr>
      <w:tr w:rsidR="0050309E" w14:paraId="504E3076" w14:textId="77777777">
        <w:tblPrEx>
          <w:tblCellMar>
            <w:top w:w="0" w:type="dxa"/>
            <w:bottom w:w="0" w:type="dxa"/>
          </w:tblCellMar>
        </w:tblPrEx>
        <w:trPr>
          <w:trHeight w:val="1086"/>
        </w:trPr>
        <w:tc>
          <w:tcPr>
            <w:tcW w:w="8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05270"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Bachelor’s degree or equivalent experience. </w:t>
            </w:r>
          </w:p>
          <w:p w14:paraId="57A778BD"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Professional qualification or equivalent experience. </w:t>
            </w:r>
          </w:p>
          <w:p w14:paraId="4ECFD3C9"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Excellent communication skills with the ability to engage a variety of audiences. </w:t>
            </w:r>
          </w:p>
          <w:p w14:paraId="15FC99CB"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Significant project/</w:t>
            </w:r>
            <w:proofErr w:type="spellStart"/>
            <w:r>
              <w:rPr>
                <w:rFonts w:ascii="Arial" w:hAnsi="Arial" w:cs="Arial"/>
                <w:bCs/>
                <w:sz w:val="22"/>
                <w:szCs w:val="22"/>
              </w:rPr>
              <w:t>programme</w:t>
            </w:r>
            <w:proofErr w:type="spellEnd"/>
            <w:r>
              <w:rPr>
                <w:rFonts w:ascii="Arial" w:hAnsi="Arial" w:cs="Arial"/>
                <w:bCs/>
                <w:sz w:val="22"/>
                <w:szCs w:val="22"/>
              </w:rPr>
              <w:t xml:space="preserve"> management experience with advanced planning skills. </w:t>
            </w:r>
          </w:p>
          <w:p w14:paraId="16A4B712"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Excellent analytical and </w:t>
            </w:r>
            <w:proofErr w:type="gramStart"/>
            <w:r>
              <w:rPr>
                <w:rFonts w:ascii="Arial" w:hAnsi="Arial" w:cs="Arial"/>
                <w:bCs/>
                <w:sz w:val="22"/>
                <w:szCs w:val="22"/>
              </w:rPr>
              <w:t>problem solving</w:t>
            </w:r>
            <w:proofErr w:type="gramEnd"/>
            <w:r>
              <w:rPr>
                <w:rFonts w:ascii="Arial" w:hAnsi="Arial" w:cs="Arial"/>
                <w:bCs/>
                <w:sz w:val="22"/>
                <w:szCs w:val="22"/>
              </w:rPr>
              <w:t xml:space="preserve"> skills. </w:t>
            </w:r>
          </w:p>
          <w:p w14:paraId="480FFB77"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Ability to manage multiple internal and external stakeholders. </w:t>
            </w:r>
          </w:p>
          <w:p w14:paraId="282EDA7A"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Ability to </w:t>
            </w:r>
            <w:proofErr w:type="spellStart"/>
            <w:r>
              <w:rPr>
                <w:rFonts w:ascii="Arial" w:hAnsi="Arial" w:cs="Arial"/>
                <w:bCs/>
                <w:sz w:val="22"/>
                <w:szCs w:val="22"/>
              </w:rPr>
              <w:t>prioritise</w:t>
            </w:r>
            <w:proofErr w:type="spellEnd"/>
            <w:r>
              <w:rPr>
                <w:rFonts w:ascii="Arial" w:hAnsi="Arial" w:cs="Arial"/>
                <w:bCs/>
                <w:sz w:val="22"/>
                <w:szCs w:val="22"/>
              </w:rPr>
              <w:t xml:space="preserve"> and focus on material issues. </w:t>
            </w:r>
          </w:p>
          <w:p w14:paraId="2880306C"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Succe</w:t>
            </w:r>
            <w:r>
              <w:rPr>
                <w:rFonts w:ascii="Arial" w:hAnsi="Arial" w:cs="Arial"/>
                <w:bCs/>
                <w:sz w:val="22"/>
                <w:szCs w:val="22"/>
              </w:rPr>
              <w:t xml:space="preserve">ssful experience managing, developing &amp; motivating a team. </w:t>
            </w:r>
          </w:p>
          <w:p w14:paraId="58CE5841"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In-depth knowledge of business education/specialist area. </w:t>
            </w:r>
          </w:p>
          <w:p w14:paraId="7F1C9837"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Excellent analytical and </w:t>
            </w:r>
            <w:proofErr w:type="gramStart"/>
            <w:r>
              <w:rPr>
                <w:rFonts w:ascii="Arial" w:hAnsi="Arial" w:cs="Arial"/>
                <w:bCs/>
                <w:sz w:val="22"/>
                <w:szCs w:val="22"/>
              </w:rPr>
              <w:t>problem solving</w:t>
            </w:r>
            <w:proofErr w:type="gramEnd"/>
            <w:r>
              <w:rPr>
                <w:rFonts w:ascii="Arial" w:hAnsi="Arial" w:cs="Arial"/>
                <w:bCs/>
                <w:sz w:val="22"/>
                <w:szCs w:val="22"/>
              </w:rPr>
              <w:t xml:space="preserve"> skills. </w:t>
            </w:r>
          </w:p>
          <w:p w14:paraId="070877AF"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 xml:space="preserve">Experience in effectively managing external suppliers/contractors. </w:t>
            </w:r>
          </w:p>
          <w:p w14:paraId="6AE4383B" w14:textId="77777777" w:rsidR="0050309E" w:rsidRDefault="00B717B1">
            <w:pPr>
              <w:pStyle w:val="ListParagraph"/>
              <w:numPr>
                <w:ilvl w:val="0"/>
                <w:numId w:val="7"/>
              </w:numPr>
              <w:autoSpaceDE w:val="0"/>
              <w:spacing w:before="100" w:after="100"/>
              <w:rPr>
                <w:rFonts w:ascii="Arial" w:hAnsi="Arial" w:cs="Arial"/>
                <w:bCs/>
              </w:rPr>
            </w:pPr>
            <w:r>
              <w:rPr>
                <w:rFonts w:ascii="Arial" w:hAnsi="Arial" w:cs="Arial"/>
                <w:bCs/>
                <w:sz w:val="22"/>
                <w:szCs w:val="22"/>
              </w:rPr>
              <w:t>Financial managemen</w:t>
            </w:r>
            <w:r>
              <w:rPr>
                <w:rFonts w:ascii="Arial" w:hAnsi="Arial" w:cs="Arial"/>
                <w:bCs/>
                <w:sz w:val="22"/>
                <w:szCs w:val="22"/>
              </w:rPr>
              <w:t>t experience and commercial acumen.</w:t>
            </w:r>
          </w:p>
        </w:tc>
      </w:tr>
    </w:tbl>
    <w:p w14:paraId="62A5F09D" w14:textId="77777777" w:rsidR="0050309E" w:rsidRDefault="0050309E">
      <w:pPr>
        <w:spacing w:before="100" w:after="100"/>
        <w:rPr>
          <w:rFonts w:ascii="Arial" w:hAnsi="Arial" w:cs="Arial"/>
          <w:color w:val="002060"/>
          <w:sz w:val="22"/>
          <w:szCs w:val="22"/>
          <w:lang w:val="en-GB"/>
        </w:rPr>
      </w:pPr>
    </w:p>
    <w:p w14:paraId="130C9765" w14:textId="77777777" w:rsidR="0050309E" w:rsidRDefault="0050309E">
      <w:pPr>
        <w:spacing w:before="100" w:after="100"/>
        <w:rPr>
          <w:rFonts w:ascii="Arial" w:hAnsi="Arial" w:cs="Arial"/>
          <w:color w:val="002060"/>
          <w:sz w:val="22"/>
          <w:szCs w:val="22"/>
          <w:lang w:val="en-GB"/>
        </w:rPr>
      </w:pPr>
    </w:p>
    <w:p w14:paraId="6518C7CB" w14:textId="77777777" w:rsidR="0050309E" w:rsidRDefault="0050309E">
      <w:pPr>
        <w:spacing w:before="100" w:after="100"/>
        <w:rPr>
          <w:rFonts w:ascii="Arial" w:hAnsi="Arial" w:cs="Arial"/>
          <w:color w:val="002060"/>
          <w:sz w:val="22"/>
          <w:szCs w:val="22"/>
          <w:lang w:val="en-GB"/>
        </w:rPr>
      </w:pPr>
    </w:p>
    <w:tbl>
      <w:tblPr>
        <w:tblW w:w="8641" w:type="dxa"/>
        <w:tblCellMar>
          <w:left w:w="10" w:type="dxa"/>
          <w:right w:w="10" w:type="dxa"/>
        </w:tblCellMar>
        <w:tblLook w:val="0000" w:firstRow="0" w:lastRow="0" w:firstColumn="0" w:lastColumn="0" w:noHBand="0" w:noVBand="0"/>
      </w:tblPr>
      <w:tblGrid>
        <w:gridCol w:w="8641"/>
      </w:tblGrid>
      <w:tr w:rsidR="0050309E" w14:paraId="0E2A519F" w14:textId="77777777">
        <w:tblPrEx>
          <w:tblCellMar>
            <w:top w:w="0" w:type="dxa"/>
            <w:bottom w:w="0" w:type="dxa"/>
          </w:tblCellMar>
        </w:tblPrEx>
        <w:trPr>
          <w:trHeight w:val="416"/>
        </w:trPr>
        <w:tc>
          <w:tcPr>
            <w:tcW w:w="8641" w:type="dxa"/>
            <w:tcBorders>
              <w:top w:val="single" w:sz="4" w:space="0" w:color="000000"/>
              <w:left w:val="single" w:sz="4" w:space="0" w:color="000000"/>
              <w:bottom w:val="single" w:sz="4" w:space="0" w:color="000000"/>
              <w:right w:val="single" w:sz="4" w:space="0" w:color="000000"/>
            </w:tcBorders>
            <w:shd w:val="clear" w:color="auto" w:fill="001E62"/>
            <w:tcMar>
              <w:top w:w="0" w:type="dxa"/>
              <w:left w:w="108" w:type="dxa"/>
              <w:bottom w:w="0" w:type="dxa"/>
              <w:right w:w="108" w:type="dxa"/>
            </w:tcMar>
          </w:tcPr>
          <w:p w14:paraId="02B5A93E" w14:textId="77777777" w:rsidR="0050309E" w:rsidRDefault="00B717B1">
            <w:pPr>
              <w:spacing w:before="100" w:after="100"/>
            </w:pPr>
            <w:r>
              <w:rPr>
                <w:rFonts w:ascii="Arial" w:hAnsi="Arial" w:cs="Arial"/>
                <w:b/>
                <w:color w:val="FFFFFF"/>
                <w:sz w:val="22"/>
                <w:szCs w:val="22"/>
              </w:rPr>
              <w:t xml:space="preserve">Resources including team management </w:t>
            </w:r>
          </w:p>
        </w:tc>
      </w:tr>
      <w:tr w:rsidR="0050309E" w14:paraId="59A2F3DB" w14:textId="77777777">
        <w:tblPrEx>
          <w:tblCellMar>
            <w:top w:w="0" w:type="dxa"/>
            <w:bottom w:w="0" w:type="dxa"/>
          </w:tblCellMar>
        </w:tblPrEx>
        <w:trPr>
          <w:trHeight w:val="337"/>
        </w:trPr>
        <w:tc>
          <w:tcPr>
            <w:tcW w:w="8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E6AE" w14:textId="77777777" w:rsidR="0050309E" w:rsidRDefault="00B717B1">
            <w:pPr>
              <w:spacing w:before="100" w:after="100"/>
            </w:pPr>
            <w:r>
              <w:rPr>
                <w:rFonts w:ascii="Arial" w:hAnsi="Arial" w:cs="Arial"/>
                <w:sz w:val="22"/>
                <w:szCs w:val="22"/>
              </w:rPr>
              <w:t>The post holder will be the formal line manager for a team of three assistants.</w:t>
            </w:r>
          </w:p>
          <w:p w14:paraId="2D63683F" w14:textId="77777777" w:rsidR="0050309E" w:rsidRDefault="0050309E">
            <w:pPr>
              <w:spacing w:before="100" w:after="100"/>
              <w:rPr>
                <w:rFonts w:ascii="Arial" w:hAnsi="Arial" w:cs="Arial"/>
                <w:b/>
              </w:rPr>
            </w:pPr>
          </w:p>
        </w:tc>
      </w:tr>
    </w:tbl>
    <w:p w14:paraId="5B71F086" w14:textId="77777777" w:rsidR="0050309E" w:rsidRDefault="0050309E">
      <w:pPr>
        <w:spacing w:before="100" w:after="100"/>
        <w:rPr>
          <w:rFonts w:ascii="Arial" w:hAnsi="Arial" w:cs="Arial"/>
          <w:color w:val="002060"/>
          <w:sz w:val="22"/>
          <w:szCs w:val="22"/>
          <w:lang w:val="en-GB"/>
        </w:rPr>
      </w:pPr>
    </w:p>
    <w:p w14:paraId="3D2527F6" w14:textId="77777777" w:rsidR="0050309E" w:rsidRDefault="0050309E">
      <w:pPr>
        <w:spacing w:before="100" w:after="100"/>
        <w:rPr>
          <w:rFonts w:ascii="Arial" w:hAnsi="Arial" w:cs="Arial"/>
          <w:color w:val="002060"/>
          <w:sz w:val="22"/>
          <w:szCs w:val="22"/>
          <w:lang w:val="en-GB"/>
        </w:rPr>
      </w:pPr>
    </w:p>
    <w:p w14:paraId="557AD5B1" w14:textId="77777777" w:rsidR="0050309E" w:rsidRDefault="0050309E">
      <w:pPr>
        <w:spacing w:before="100" w:after="100"/>
        <w:rPr>
          <w:rFonts w:ascii="Arial" w:hAnsi="Arial" w:cs="Arial"/>
          <w:color w:val="002060"/>
          <w:sz w:val="22"/>
          <w:szCs w:val="22"/>
          <w:lang w:val="en-GB"/>
        </w:rPr>
      </w:pPr>
    </w:p>
    <w:p w14:paraId="6464D285" w14:textId="77777777" w:rsidR="0050309E" w:rsidRDefault="0050309E">
      <w:pPr>
        <w:spacing w:before="100" w:after="100"/>
        <w:rPr>
          <w:rFonts w:ascii="Arial" w:hAnsi="Arial" w:cs="Arial"/>
          <w:color w:val="002060"/>
          <w:sz w:val="22"/>
          <w:szCs w:val="22"/>
          <w:lang w:val="en-GB"/>
        </w:rPr>
      </w:pPr>
    </w:p>
    <w:p w14:paraId="0AED35C0" w14:textId="77777777" w:rsidR="0050309E" w:rsidRDefault="0050309E">
      <w:pPr>
        <w:spacing w:before="100" w:after="100"/>
        <w:rPr>
          <w:rFonts w:ascii="Arial" w:hAnsi="Arial" w:cs="Arial"/>
          <w:color w:val="002060"/>
          <w:sz w:val="22"/>
          <w:szCs w:val="22"/>
          <w:lang w:val="en-GB"/>
        </w:rPr>
      </w:pPr>
    </w:p>
    <w:p w14:paraId="4933BCC6" w14:textId="77777777" w:rsidR="0050309E" w:rsidRDefault="0050309E">
      <w:pPr>
        <w:spacing w:before="100" w:after="100"/>
        <w:rPr>
          <w:rFonts w:ascii="Arial" w:hAnsi="Arial" w:cs="Arial"/>
          <w:color w:val="002060"/>
          <w:sz w:val="22"/>
          <w:szCs w:val="22"/>
          <w:lang w:val="en-GB"/>
        </w:rPr>
      </w:pPr>
    </w:p>
    <w:p w14:paraId="60DDD058" w14:textId="77777777" w:rsidR="0050309E" w:rsidRDefault="0050309E">
      <w:pPr>
        <w:spacing w:before="100" w:after="100"/>
        <w:rPr>
          <w:rFonts w:ascii="Arial" w:hAnsi="Arial" w:cs="Arial"/>
          <w:color w:val="002060"/>
          <w:sz w:val="22"/>
          <w:szCs w:val="22"/>
          <w:lang w:val="en-GB"/>
        </w:rPr>
      </w:pPr>
    </w:p>
    <w:p w14:paraId="388EA6B2" w14:textId="77777777" w:rsidR="0050309E" w:rsidRDefault="0050309E">
      <w:pPr>
        <w:spacing w:before="100" w:after="100"/>
        <w:rPr>
          <w:rFonts w:ascii="Arial" w:hAnsi="Arial" w:cs="Arial"/>
          <w:color w:val="002060"/>
          <w:sz w:val="22"/>
          <w:szCs w:val="22"/>
          <w:lang w:val="en-GB"/>
        </w:rPr>
      </w:pPr>
    </w:p>
    <w:p w14:paraId="539DD5A0" w14:textId="77777777" w:rsidR="0050309E" w:rsidRDefault="0050309E">
      <w:pPr>
        <w:spacing w:before="100" w:after="100"/>
        <w:rPr>
          <w:rFonts w:ascii="Arial" w:hAnsi="Arial" w:cs="Arial"/>
          <w:color w:val="002060"/>
          <w:sz w:val="22"/>
          <w:szCs w:val="22"/>
          <w:lang w:val="en-GB"/>
        </w:rPr>
      </w:pPr>
    </w:p>
    <w:p w14:paraId="69194898" w14:textId="77777777" w:rsidR="0050309E" w:rsidRDefault="0050309E">
      <w:pPr>
        <w:spacing w:before="100" w:after="100"/>
        <w:rPr>
          <w:rFonts w:ascii="Arial" w:hAnsi="Arial" w:cs="Arial"/>
          <w:color w:val="002060"/>
          <w:sz w:val="22"/>
          <w:szCs w:val="22"/>
          <w:lang w:val="en-GB"/>
        </w:rPr>
      </w:pPr>
    </w:p>
    <w:p w14:paraId="0A02D786" w14:textId="77777777" w:rsidR="0050309E" w:rsidRDefault="0050309E">
      <w:pPr>
        <w:spacing w:before="100" w:after="100"/>
        <w:rPr>
          <w:rFonts w:ascii="Arial" w:hAnsi="Arial" w:cs="Arial"/>
          <w:color w:val="002060"/>
          <w:sz w:val="22"/>
          <w:szCs w:val="22"/>
          <w:lang w:val="en-GB"/>
        </w:rPr>
      </w:pPr>
    </w:p>
    <w:p w14:paraId="2A12DD2A" w14:textId="77777777" w:rsidR="0050309E" w:rsidRDefault="0050309E">
      <w:pPr>
        <w:spacing w:before="100" w:after="100"/>
        <w:rPr>
          <w:rFonts w:ascii="Arial" w:hAnsi="Arial" w:cs="Arial"/>
          <w:color w:val="002060"/>
          <w:sz w:val="22"/>
          <w:szCs w:val="22"/>
          <w:lang w:val="en-GB"/>
        </w:rPr>
      </w:pPr>
    </w:p>
    <w:p w14:paraId="30BB518D" w14:textId="77777777" w:rsidR="0050309E" w:rsidRDefault="0050309E">
      <w:pPr>
        <w:spacing w:before="100" w:after="100"/>
        <w:rPr>
          <w:rFonts w:ascii="Arial" w:hAnsi="Arial" w:cs="Arial"/>
          <w:color w:val="002060"/>
          <w:sz w:val="22"/>
          <w:szCs w:val="22"/>
          <w:lang w:val="en-GB"/>
        </w:rPr>
      </w:pPr>
    </w:p>
    <w:p w14:paraId="1D345808" w14:textId="77777777" w:rsidR="0050309E" w:rsidRDefault="0050309E">
      <w:pPr>
        <w:spacing w:before="100" w:after="100"/>
        <w:rPr>
          <w:rFonts w:ascii="Arial" w:hAnsi="Arial" w:cs="Arial"/>
          <w:color w:val="002060"/>
          <w:sz w:val="22"/>
          <w:szCs w:val="22"/>
          <w:lang w:val="en-GB"/>
        </w:rPr>
      </w:pPr>
    </w:p>
    <w:p w14:paraId="7C21DB28" w14:textId="77777777" w:rsidR="0050309E" w:rsidRDefault="0050309E">
      <w:pPr>
        <w:spacing w:before="100" w:after="100"/>
        <w:rPr>
          <w:rFonts w:ascii="Arial" w:hAnsi="Arial" w:cs="Arial"/>
          <w:color w:val="002060"/>
          <w:sz w:val="22"/>
          <w:szCs w:val="22"/>
          <w:lang w:val="en-GB"/>
        </w:rPr>
      </w:pPr>
    </w:p>
    <w:p w14:paraId="39E18CD6" w14:textId="77777777" w:rsidR="0050309E" w:rsidRDefault="0050309E">
      <w:pPr>
        <w:spacing w:before="100" w:after="100"/>
        <w:rPr>
          <w:rFonts w:ascii="Arial" w:hAnsi="Arial" w:cs="Arial"/>
          <w:color w:val="002060"/>
          <w:sz w:val="22"/>
          <w:szCs w:val="22"/>
          <w:lang w:val="en-GB"/>
        </w:rPr>
      </w:pPr>
    </w:p>
    <w:p w14:paraId="1CE4B899" w14:textId="77777777" w:rsidR="0050309E" w:rsidRDefault="0050309E">
      <w:pPr>
        <w:spacing w:before="100" w:after="100"/>
        <w:rPr>
          <w:rFonts w:ascii="Arial" w:hAnsi="Arial" w:cs="Arial"/>
          <w:color w:val="002060"/>
          <w:sz w:val="22"/>
          <w:szCs w:val="22"/>
          <w:lang w:val="en-GB"/>
        </w:rPr>
      </w:pPr>
    </w:p>
    <w:tbl>
      <w:tblPr>
        <w:tblW w:w="6232" w:type="dxa"/>
        <w:tblCellMar>
          <w:left w:w="10" w:type="dxa"/>
          <w:right w:w="10" w:type="dxa"/>
        </w:tblCellMar>
        <w:tblLook w:val="0000" w:firstRow="0" w:lastRow="0" w:firstColumn="0" w:lastColumn="0" w:noHBand="0" w:noVBand="0"/>
      </w:tblPr>
      <w:tblGrid>
        <w:gridCol w:w="2263"/>
        <w:gridCol w:w="3969"/>
      </w:tblGrid>
      <w:tr w:rsidR="0050309E" w14:paraId="0AC1E0F6" w14:textId="77777777">
        <w:tblPrEx>
          <w:tblCellMar>
            <w:top w:w="0" w:type="dxa"/>
            <w:bottom w:w="0" w:type="dxa"/>
          </w:tblCellMar>
        </w:tblPrEx>
        <w:trPr>
          <w:trHeight w:val="482"/>
        </w:trPr>
        <w:tc>
          <w:tcPr>
            <w:tcW w:w="2263" w:type="dxa"/>
            <w:tcBorders>
              <w:top w:val="single" w:sz="4" w:space="0" w:color="000000"/>
              <w:left w:val="single" w:sz="4" w:space="0" w:color="000000"/>
              <w:bottom w:val="single" w:sz="4" w:space="0" w:color="000000"/>
              <w:right w:val="single" w:sz="4" w:space="0" w:color="000000"/>
            </w:tcBorders>
            <w:shd w:val="clear" w:color="auto" w:fill="001E62"/>
            <w:tcMar>
              <w:top w:w="0" w:type="dxa"/>
              <w:left w:w="108" w:type="dxa"/>
              <w:bottom w:w="0" w:type="dxa"/>
              <w:right w:w="108" w:type="dxa"/>
            </w:tcMar>
          </w:tcPr>
          <w:p w14:paraId="0D8A8AAB" w14:textId="77777777" w:rsidR="0050309E" w:rsidRDefault="00B717B1">
            <w:pPr>
              <w:spacing w:before="100" w:after="100"/>
              <w:rPr>
                <w:rFonts w:ascii="Arial" w:hAnsi="Arial" w:cs="Arial"/>
                <w:b/>
                <w:color w:val="FFFFFF"/>
              </w:rPr>
            </w:pPr>
            <w:r>
              <w:rPr>
                <w:rFonts w:ascii="Arial" w:hAnsi="Arial" w:cs="Arial"/>
                <w:b/>
                <w:color w:val="FFFFFF"/>
                <w:sz w:val="22"/>
                <w:szCs w:val="22"/>
              </w:rPr>
              <w:t>Staff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687BB" w14:textId="77777777" w:rsidR="0050309E" w:rsidRDefault="00B717B1">
            <w:pPr>
              <w:spacing w:before="100" w:after="100"/>
            </w:pPr>
            <w:r>
              <w:rPr>
                <w:rFonts w:ascii="Arial" w:hAnsi="Arial" w:cs="Arial"/>
                <w:b/>
                <w:sz w:val="22"/>
                <w:szCs w:val="22"/>
              </w:rPr>
              <w:t>0</w:t>
            </w:r>
          </w:p>
        </w:tc>
      </w:tr>
      <w:tr w:rsidR="0050309E" w14:paraId="248676E8" w14:textId="77777777">
        <w:tblPrEx>
          <w:tblCellMar>
            <w:top w:w="0" w:type="dxa"/>
            <w:bottom w:w="0" w:type="dxa"/>
          </w:tblCellMar>
        </w:tblPrEx>
        <w:trPr>
          <w:trHeight w:val="482"/>
        </w:trPr>
        <w:tc>
          <w:tcPr>
            <w:tcW w:w="2263" w:type="dxa"/>
            <w:tcBorders>
              <w:top w:val="single" w:sz="4" w:space="0" w:color="000000"/>
              <w:left w:val="single" w:sz="4" w:space="0" w:color="000000"/>
              <w:bottom w:val="single" w:sz="4" w:space="0" w:color="000000"/>
              <w:right w:val="single" w:sz="4" w:space="0" w:color="000000"/>
            </w:tcBorders>
            <w:shd w:val="clear" w:color="auto" w:fill="001E62"/>
            <w:tcMar>
              <w:top w:w="0" w:type="dxa"/>
              <w:left w:w="108" w:type="dxa"/>
              <w:bottom w:w="0" w:type="dxa"/>
              <w:right w:w="108" w:type="dxa"/>
            </w:tcMar>
          </w:tcPr>
          <w:p w14:paraId="4ADFF08B" w14:textId="77777777" w:rsidR="0050309E" w:rsidRDefault="00B717B1">
            <w:pPr>
              <w:spacing w:before="100" w:after="100"/>
              <w:rPr>
                <w:rFonts w:ascii="Arial" w:hAnsi="Arial" w:cs="Arial"/>
                <w:b/>
                <w:color w:val="FFFFFF"/>
              </w:rPr>
            </w:pPr>
            <w:r>
              <w:rPr>
                <w:rFonts w:ascii="Arial" w:hAnsi="Arial" w:cs="Arial"/>
                <w:b/>
                <w:color w:val="FFFFFF"/>
                <w:sz w:val="22"/>
                <w:szCs w:val="22"/>
              </w:rPr>
              <w:t>Budgets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E0A9" w14:textId="77777777" w:rsidR="0050309E" w:rsidRDefault="00B717B1">
            <w:pPr>
              <w:spacing w:before="100" w:after="100"/>
            </w:pPr>
            <w:r>
              <w:rPr>
                <w:rFonts w:ascii="Arial" w:hAnsi="Arial" w:cs="Arial"/>
                <w:b/>
                <w:sz w:val="22"/>
                <w:szCs w:val="22"/>
              </w:rPr>
              <w:t>0</w:t>
            </w:r>
          </w:p>
        </w:tc>
      </w:tr>
      <w:tr w:rsidR="0050309E" w14:paraId="0CC3815A" w14:textId="77777777">
        <w:tblPrEx>
          <w:tblCellMar>
            <w:top w:w="0" w:type="dxa"/>
            <w:bottom w:w="0" w:type="dxa"/>
          </w:tblCellMar>
        </w:tblPrEx>
        <w:trPr>
          <w:trHeight w:val="482"/>
        </w:trPr>
        <w:tc>
          <w:tcPr>
            <w:tcW w:w="2263" w:type="dxa"/>
            <w:tcBorders>
              <w:top w:val="single" w:sz="4" w:space="0" w:color="000000"/>
              <w:left w:val="single" w:sz="4" w:space="0" w:color="000000"/>
              <w:bottom w:val="single" w:sz="4" w:space="0" w:color="000000"/>
              <w:right w:val="single" w:sz="4" w:space="0" w:color="000000"/>
            </w:tcBorders>
            <w:shd w:val="clear" w:color="auto" w:fill="001E62"/>
            <w:tcMar>
              <w:top w:w="0" w:type="dxa"/>
              <w:left w:w="108" w:type="dxa"/>
              <w:bottom w:w="0" w:type="dxa"/>
              <w:right w:w="108" w:type="dxa"/>
            </w:tcMar>
          </w:tcPr>
          <w:p w14:paraId="558C6F02" w14:textId="77777777" w:rsidR="0050309E" w:rsidRDefault="00B717B1">
            <w:pPr>
              <w:spacing w:before="100" w:after="100"/>
              <w:rPr>
                <w:rFonts w:ascii="Arial" w:hAnsi="Arial" w:cs="Arial"/>
                <w:b/>
                <w:color w:val="FFFFFF"/>
              </w:rPr>
            </w:pPr>
            <w:r>
              <w:rPr>
                <w:rFonts w:ascii="Arial" w:hAnsi="Arial" w:cs="Arial"/>
                <w:b/>
                <w:color w:val="FFFFFF"/>
                <w:sz w:val="22"/>
                <w:szCs w:val="22"/>
              </w:rPr>
              <w:t>Date Updated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B7992" w14:textId="77777777" w:rsidR="0050309E" w:rsidRDefault="00B717B1">
            <w:pPr>
              <w:spacing w:before="100" w:after="100"/>
            </w:pPr>
            <w:r>
              <w:rPr>
                <w:rFonts w:ascii="Arial" w:hAnsi="Arial" w:cs="Arial"/>
                <w:b/>
                <w:sz w:val="22"/>
                <w:szCs w:val="22"/>
              </w:rPr>
              <w:t>January 2023</w:t>
            </w:r>
          </w:p>
        </w:tc>
      </w:tr>
    </w:tbl>
    <w:p w14:paraId="43460CB9" w14:textId="77777777" w:rsidR="0050309E" w:rsidRDefault="0050309E">
      <w:pPr>
        <w:spacing w:before="100" w:after="100"/>
        <w:rPr>
          <w:rFonts w:ascii="Arial" w:hAnsi="Arial" w:cs="Arial"/>
          <w:sz w:val="22"/>
          <w:szCs w:val="22"/>
        </w:rPr>
      </w:pPr>
    </w:p>
    <w:p w14:paraId="7162E36E" w14:textId="77777777" w:rsidR="0050309E" w:rsidRDefault="0050309E">
      <w:pPr>
        <w:spacing w:before="100" w:after="100"/>
        <w:rPr>
          <w:rFonts w:ascii="Arial" w:hAnsi="Arial" w:cs="Arial"/>
          <w:sz w:val="22"/>
          <w:szCs w:val="22"/>
        </w:rPr>
      </w:pPr>
    </w:p>
    <w:sectPr w:rsidR="0050309E">
      <w:footerReference w:type="default" r:id="rId7"/>
      <w:headerReference w:type="first" r:id="rId8"/>
      <w:pgSz w:w="11901" w:h="16840"/>
      <w:pgMar w:top="851" w:right="1134" w:bottom="1134" w:left="1134" w:header="73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4ADC" w14:textId="77777777" w:rsidR="00000000" w:rsidRDefault="00B717B1">
      <w:r>
        <w:separator/>
      </w:r>
    </w:p>
  </w:endnote>
  <w:endnote w:type="continuationSeparator" w:id="0">
    <w:p w14:paraId="59EB983C" w14:textId="77777777" w:rsidR="00000000" w:rsidRDefault="00B7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font>
  <w:font w:name="HelveticaNeueLT-Roman">
    <w:altName w:val="Arial"/>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CBDE" w14:textId="77777777" w:rsidR="00A14B80" w:rsidRDefault="00B717B1">
    <w:pPr>
      <w:pStyle w:val="Footer"/>
    </w:pPr>
    <w:r>
      <w:fldChar w:fldCharType="begin"/>
    </w:r>
    <w:r>
      <w:instrText xml:space="preserve"> PAGE </w:instrText>
    </w:r>
    <w:r>
      <w:fldChar w:fldCharType="separate"/>
    </w:r>
    <w:r>
      <w:t>2</w:t>
    </w:r>
    <w:r>
      <w:fldChar w:fldCharType="end"/>
    </w:r>
  </w:p>
  <w:p w14:paraId="0902C6B7" w14:textId="77777777" w:rsidR="00A14B80" w:rsidRDefault="00B717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E513" w14:textId="77777777" w:rsidR="00000000" w:rsidRDefault="00B717B1">
      <w:r>
        <w:rPr>
          <w:color w:val="000000"/>
        </w:rPr>
        <w:separator/>
      </w:r>
    </w:p>
  </w:footnote>
  <w:footnote w:type="continuationSeparator" w:id="0">
    <w:p w14:paraId="6F8F9759" w14:textId="77777777" w:rsidR="00000000" w:rsidRDefault="00B71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FE42" w14:textId="77777777" w:rsidR="00A14B80" w:rsidRDefault="00B71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4387"/>
    <w:multiLevelType w:val="multilevel"/>
    <w:tmpl w:val="9966850C"/>
    <w:styleLink w:val="LFO11"/>
    <w:lvl w:ilvl="0">
      <w:numFmt w:val="bullet"/>
      <w:pStyle w:val="ListBullet"/>
      <w:lvlText w:val=""/>
      <w:lvlJc w:val="left"/>
      <w:pPr>
        <w:ind w:left="360" w:hanging="360"/>
      </w:pPr>
      <w:rPr>
        <w:rFonts w:ascii="Symbol" w:hAnsi="Symbol"/>
        <w:color w:val="C8103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FF94D06"/>
    <w:multiLevelType w:val="multilevel"/>
    <w:tmpl w:val="32A8BC2E"/>
    <w:styleLink w:val="LFO17"/>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C97594"/>
    <w:multiLevelType w:val="multilevel"/>
    <w:tmpl w:val="044AEFE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47B8284F"/>
    <w:multiLevelType w:val="multilevel"/>
    <w:tmpl w:val="2724DEB8"/>
    <w:styleLink w:val="LFO10"/>
    <w:lvl w:ilvl="0">
      <w:numFmt w:val="bullet"/>
      <w:pStyle w:val="ListBullet2"/>
      <w:lvlText w:val=""/>
      <w:lvlJc w:val="left"/>
      <w:pPr>
        <w:ind w:left="643" w:hanging="360"/>
      </w:pPr>
      <w:rPr>
        <w:rFonts w:ascii="Symbol" w:hAnsi="Symbol"/>
        <w:color w:val="C8103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4D190FA1"/>
    <w:multiLevelType w:val="multilevel"/>
    <w:tmpl w:val="A6FA57D2"/>
    <w:styleLink w:val="LFO9"/>
    <w:lvl w:ilvl="0">
      <w:numFmt w:val="bullet"/>
      <w:pStyle w:val="ListBullet3"/>
      <w:lvlText w:val=""/>
      <w:lvlJc w:val="left"/>
      <w:pPr>
        <w:ind w:left="926" w:hanging="360"/>
      </w:pPr>
      <w:rPr>
        <w:rFonts w:ascii="Symbol" w:hAnsi="Symbol"/>
        <w:color w:val="C8103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5E6879E1"/>
    <w:multiLevelType w:val="multilevel"/>
    <w:tmpl w:val="1944A2F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pStyle w:val="Heading7"/>
      <w:lvlText w:val="%7."/>
      <w:lvlJc w:val="left"/>
      <w:pPr>
        <w:ind w:left="2520" w:hanging="360"/>
      </w:pPr>
    </w:lvl>
    <w:lvl w:ilvl="7">
      <w:start w:val="1"/>
      <w:numFmt w:val="lowerLetter"/>
      <w:pStyle w:val="Heading8"/>
      <w:lvlText w:val="%8."/>
      <w:lvlJc w:val="left"/>
      <w:pPr>
        <w:ind w:left="2880" w:hanging="360"/>
      </w:pPr>
    </w:lvl>
    <w:lvl w:ilvl="8">
      <w:start w:val="1"/>
      <w:numFmt w:val="lowerRoman"/>
      <w:pStyle w:val="Heading9"/>
      <w:lvlText w:val="%9."/>
      <w:lvlJc w:val="right"/>
      <w:pPr>
        <w:ind w:left="3240" w:hanging="360"/>
      </w:pPr>
    </w:lvl>
  </w:abstractNum>
  <w:abstractNum w:abstractNumId="6" w15:restartNumberingAfterBreak="0">
    <w:nsid w:val="7A782F0B"/>
    <w:multiLevelType w:val="multilevel"/>
    <w:tmpl w:val="E570B3C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836111759">
    <w:abstractNumId w:val="5"/>
  </w:num>
  <w:num w:numId="2" w16cid:durableId="1071465925">
    <w:abstractNumId w:val="4"/>
  </w:num>
  <w:num w:numId="3" w16cid:durableId="2125465170">
    <w:abstractNumId w:val="3"/>
  </w:num>
  <w:num w:numId="4" w16cid:durableId="1211842611">
    <w:abstractNumId w:val="0"/>
  </w:num>
  <w:num w:numId="5" w16cid:durableId="1445340900">
    <w:abstractNumId w:val="1"/>
  </w:num>
  <w:num w:numId="6" w16cid:durableId="1072239727">
    <w:abstractNumId w:val="6"/>
  </w:num>
  <w:num w:numId="7" w16cid:durableId="1879078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0309E"/>
    <w:rsid w:val="0050309E"/>
    <w:rsid w:val="00B717B1"/>
    <w:rsid w:val="00F7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0A7F"/>
  <w15:docId w15:val="{8D6E8B60-5499-4733-856B-DE07021F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color w:val="04143C"/>
        <w:sz w:val="22"/>
        <w:szCs w:val="22"/>
        <w:lang w:val="en-US" w:eastAsia="ja-JP" w:bidi="ar-SA"/>
      </w:rPr>
    </w:rPrDefault>
    <w:pPrDefault>
      <w:pPr>
        <w:autoSpaceDN w:val="0"/>
        <w:spacing w:after="120" w:line="288" w:lineRule="auto"/>
        <w:ind w:left="3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ind w:left="0"/>
    </w:pPr>
    <w:rPr>
      <w:rFonts w:ascii="Times New Roman" w:eastAsia="Times New Roman" w:hAnsi="Times New Roman"/>
      <w:color w:val="auto"/>
      <w:sz w:val="24"/>
      <w:szCs w:val="24"/>
      <w:lang w:eastAsia="en-US"/>
    </w:rPr>
  </w:style>
  <w:style w:type="paragraph" w:styleId="Heading1">
    <w:name w:val="heading 1"/>
    <w:basedOn w:val="Normal"/>
    <w:uiPriority w:val="9"/>
    <w:qFormat/>
    <w:pPr>
      <w:spacing w:before="600" w:after="120"/>
      <w:outlineLvl w:val="0"/>
    </w:pPr>
    <w:rPr>
      <w:rFonts w:ascii="Arial" w:hAnsi="Arial" w:cs="Times New Roman (Body CS)"/>
      <w:sz w:val="36"/>
      <w:szCs w:val="36"/>
    </w:rPr>
  </w:style>
  <w:style w:type="paragraph" w:styleId="Heading2">
    <w:name w:val="heading 2"/>
    <w:basedOn w:val="Normal"/>
    <w:uiPriority w:val="9"/>
    <w:semiHidden/>
    <w:unhideWhenUsed/>
    <w:qFormat/>
    <w:pPr>
      <w:spacing w:before="240" w:after="120"/>
      <w:outlineLvl w:val="1"/>
    </w:pPr>
    <w:rPr>
      <w:rFonts w:ascii="Arial" w:hAnsi="Arial"/>
      <w:b/>
      <w:sz w:val="28"/>
      <w:szCs w:val="28"/>
    </w:rPr>
  </w:style>
  <w:style w:type="paragraph" w:styleId="Heading3">
    <w:name w:val="heading 3"/>
    <w:basedOn w:val="Normal"/>
    <w:uiPriority w:val="9"/>
    <w:semiHidden/>
    <w:unhideWhenUsed/>
    <w:qFormat/>
    <w:pPr>
      <w:spacing w:before="120" w:after="120"/>
      <w:outlineLvl w:val="2"/>
    </w:pPr>
    <w:rPr>
      <w:rFonts w:ascii="Arial" w:hAnsi="Arial"/>
    </w:rPr>
  </w:style>
  <w:style w:type="paragraph" w:styleId="Heading4">
    <w:name w:val="heading 4"/>
    <w:basedOn w:val="Normal"/>
    <w:uiPriority w:val="9"/>
    <w:semiHidden/>
    <w:unhideWhenUsed/>
    <w:qFormat/>
    <w:pPr>
      <w:spacing w:before="120" w:after="120"/>
      <w:outlineLvl w:val="3"/>
    </w:pPr>
    <w:rPr>
      <w:rFonts w:ascii="Arial" w:hAnsi="Arial"/>
      <w:b/>
      <w:iCs/>
      <w:spacing w:val="6"/>
      <w:szCs w:val="20"/>
    </w:rPr>
  </w:style>
  <w:style w:type="paragraph" w:styleId="Heading5">
    <w:name w:val="heading 5"/>
    <w:basedOn w:val="Normal"/>
    <w:uiPriority w:val="9"/>
    <w:semiHidden/>
    <w:unhideWhenUsed/>
    <w:qFormat/>
    <w:pPr>
      <w:spacing w:before="120" w:after="60"/>
      <w:outlineLvl w:val="4"/>
    </w:pPr>
    <w:rPr>
      <w:rFonts w:ascii="Arial" w:hAnsi="Arial"/>
      <w:spacing w:val="6"/>
    </w:rPr>
  </w:style>
  <w:style w:type="paragraph" w:styleId="Heading6">
    <w:name w:val="heading 6"/>
    <w:basedOn w:val="Normal"/>
    <w:uiPriority w:val="9"/>
    <w:semiHidden/>
    <w:unhideWhenUsed/>
    <w:qFormat/>
    <w:pPr>
      <w:spacing w:before="120" w:after="60"/>
      <w:outlineLvl w:val="5"/>
    </w:pPr>
    <w:rPr>
      <w:rFonts w:ascii="Arial" w:hAnsi="Arial"/>
      <w:spacing w:val="12"/>
      <w:sz w:val="18"/>
    </w:rPr>
  </w:style>
  <w:style w:type="paragraph" w:styleId="Heading7">
    <w:name w:val="heading 7"/>
    <w:basedOn w:val="Normal"/>
    <w:pPr>
      <w:numPr>
        <w:ilvl w:val="6"/>
        <w:numId w:val="1"/>
      </w:numPr>
      <w:spacing w:before="40"/>
      <w:outlineLvl w:val="6"/>
    </w:pPr>
    <w:rPr>
      <w:rFonts w:ascii="Arial" w:hAnsi="Arial"/>
      <w:iCs/>
      <w:color w:val="CFCFD0"/>
    </w:rPr>
  </w:style>
  <w:style w:type="paragraph" w:styleId="Heading8">
    <w:name w:val="heading 8"/>
    <w:basedOn w:val="Normal"/>
    <w:pPr>
      <w:numPr>
        <w:ilvl w:val="7"/>
        <w:numId w:val="1"/>
      </w:numPr>
      <w:spacing w:before="40"/>
      <w:outlineLvl w:val="7"/>
    </w:pPr>
    <w:rPr>
      <w:rFonts w:ascii="Arial" w:hAnsi="Arial"/>
      <w:i/>
      <w:color w:val="DADADB"/>
      <w:szCs w:val="21"/>
    </w:rPr>
  </w:style>
  <w:style w:type="paragraph" w:styleId="Heading9">
    <w:name w:val="heading 9"/>
    <w:basedOn w:val="Normal"/>
    <w:pPr>
      <w:numPr>
        <w:ilvl w:val="8"/>
        <w:numId w:val="1"/>
      </w:numPr>
      <w:spacing w:before="40"/>
      <w:outlineLvl w:val="8"/>
    </w:pPr>
    <w:rPr>
      <w:rFonts w:ascii="Arial" w:hAnsi="Arial"/>
      <w:iCs/>
      <w:color w:val="DADAD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1Char">
    <w:name w:val="Heading 1 Char"/>
    <w:basedOn w:val="DefaultParagraphFont"/>
    <w:rPr>
      <w:rFonts w:ascii="Arial" w:hAnsi="Arial" w:cs="Times New Roman (Body CS)"/>
      <w:color w:val="001E62"/>
      <w:sz w:val="36"/>
      <w:szCs w:val="36"/>
    </w:rPr>
  </w:style>
  <w:style w:type="character" w:customStyle="1" w:styleId="Heading2Char">
    <w:name w:val="Heading 2 Char"/>
    <w:basedOn w:val="DefaultParagraphFont"/>
    <w:rPr>
      <w:rFonts w:ascii="Arial" w:eastAsia="Times New Roman" w:hAnsi="Arial" w:cs="Times New Roman"/>
      <w:b/>
      <w:color w:val="001E62"/>
      <w:sz w:val="28"/>
      <w:szCs w:val="28"/>
    </w:rPr>
  </w:style>
  <w:style w:type="character" w:customStyle="1" w:styleId="Heading3Char">
    <w:name w:val="Heading 3 Char"/>
    <w:basedOn w:val="DefaultParagraphFont"/>
    <w:rPr>
      <w:rFonts w:ascii="Arial" w:eastAsia="Times New Roman" w:hAnsi="Arial" w:cs="Times New Roman"/>
      <w:color w:val="001E62"/>
      <w:sz w:val="24"/>
      <w:szCs w:val="24"/>
    </w:rPr>
  </w:style>
  <w:style w:type="character" w:customStyle="1" w:styleId="Heading4Char">
    <w:name w:val="Heading 4 Char"/>
    <w:basedOn w:val="DefaultParagraphFont"/>
    <w:rPr>
      <w:rFonts w:ascii="Arial" w:eastAsia="Times New Roman" w:hAnsi="Arial" w:cs="Times New Roman"/>
      <w:b/>
      <w:iCs/>
      <w:color w:val="001E62"/>
      <w:spacing w:val="6"/>
      <w:sz w:val="20"/>
      <w:szCs w:val="20"/>
    </w:rPr>
  </w:style>
  <w:style w:type="character" w:customStyle="1" w:styleId="Heading5Char">
    <w:name w:val="Heading 5 Char"/>
    <w:basedOn w:val="DefaultParagraphFont"/>
    <w:rPr>
      <w:rFonts w:ascii="Arial" w:eastAsia="Times New Roman" w:hAnsi="Arial" w:cs="Times New Roman"/>
      <w:color w:val="001E62"/>
      <w:spacing w:val="6"/>
      <w:sz w:val="20"/>
    </w:rPr>
  </w:style>
  <w:style w:type="character" w:customStyle="1" w:styleId="Heading6Char">
    <w:name w:val="Heading 6 Char"/>
    <w:basedOn w:val="DefaultParagraphFont"/>
    <w:rPr>
      <w:rFonts w:ascii="Arial" w:eastAsia="Times New Roman" w:hAnsi="Arial" w:cs="Times New Roman"/>
      <w:color w:val="001E62"/>
      <w:spacing w:val="12"/>
      <w:sz w:val="18"/>
    </w:rPr>
  </w:style>
  <w:style w:type="character" w:customStyle="1" w:styleId="Heading7Char">
    <w:name w:val="Heading 7 Char"/>
    <w:basedOn w:val="DefaultParagraphFont"/>
    <w:rPr>
      <w:rFonts w:ascii="Arial" w:eastAsia="Times New Roman" w:hAnsi="Arial" w:cs="Times New Roman"/>
      <w:b w:val="0"/>
      <w:i w:val="0"/>
      <w:iCs/>
      <w:color w:val="CFCFD0"/>
    </w:rPr>
  </w:style>
  <w:style w:type="character" w:customStyle="1" w:styleId="Heading8Char">
    <w:name w:val="Heading 8 Char"/>
    <w:basedOn w:val="DefaultParagraphFont"/>
    <w:rPr>
      <w:rFonts w:ascii="Arial" w:eastAsia="Times New Roman" w:hAnsi="Arial" w:cs="Times New Roman"/>
      <w:b w:val="0"/>
      <w:i/>
      <w:color w:val="DADADB"/>
      <w:szCs w:val="21"/>
    </w:rPr>
  </w:style>
  <w:style w:type="character" w:customStyle="1" w:styleId="Heading9Char">
    <w:name w:val="Heading 9 Char"/>
    <w:basedOn w:val="DefaultParagraphFont"/>
    <w:rPr>
      <w:rFonts w:ascii="Arial" w:eastAsia="Times New Roman" w:hAnsi="Arial" w:cs="Times New Roman"/>
      <w:b w:val="0"/>
      <w:i w:val="0"/>
      <w:iCs/>
      <w:color w:val="DADADB"/>
      <w:szCs w:val="21"/>
    </w:rPr>
  </w:style>
  <w:style w:type="paragraph" w:styleId="Header">
    <w:name w:val="header"/>
    <w:basedOn w:val="Normal"/>
  </w:style>
  <w:style w:type="character" w:customStyle="1" w:styleId="HeaderChar">
    <w:name w:val="Header Char"/>
    <w:basedOn w:val="DefaultParagraphFont"/>
    <w:rPr>
      <w:rFonts w:ascii="Montserrat" w:hAnsi="Montserrat"/>
      <w:b w:val="0"/>
      <w:i w:val="0"/>
      <w:color w:val="001E62"/>
    </w:rPr>
  </w:style>
  <w:style w:type="paragraph" w:styleId="Footer">
    <w:name w:val="footer"/>
    <w:basedOn w:val="Normal"/>
  </w:style>
  <w:style w:type="character" w:customStyle="1" w:styleId="FooterChar">
    <w:name w:val="Footer Char"/>
    <w:basedOn w:val="DefaultParagraphFont"/>
    <w:rPr>
      <w:rFonts w:ascii="Montserrat" w:hAnsi="Montserrat"/>
      <w:b w:val="0"/>
      <w:i w:val="0"/>
      <w:color w:val="001E62"/>
    </w:rPr>
  </w:style>
  <w:style w:type="paragraph" w:styleId="Caption">
    <w:name w:val="caption"/>
    <w:basedOn w:val="Normal"/>
    <w:next w:val="Normal"/>
    <w:pPr>
      <w:spacing w:after="200"/>
    </w:pPr>
    <w:rPr>
      <w:i/>
      <w:iCs/>
      <w:szCs w:val="18"/>
    </w:rPr>
  </w:style>
  <w:style w:type="paragraph" w:styleId="Title">
    <w:name w:val="Title"/>
    <w:basedOn w:val="Normal"/>
    <w:uiPriority w:val="10"/>
    <w:qFormat/>
    <w:pPr>
      <w:spacing w:before="240"/>
    </w:pPr>
    <w:rPr>
      <w:rFonts w:ascii="Arial" w:hAnsi="Arial" w:cs="Times New Roman (Headings CS)"/>
      <w:sz w:val="54"/>
      <w:szCs w:val="56"/>
    </w:rPr>
  </w:style>
  <w:style w:type="character" w:customStyle="1" w:styleId="TitleChar">
    <w:name w:val="Title Char"/>
    <w:basedOn w:val="DefaultParagraphFont"/>
    <w:rPr>
      <w:rFonts w:ascii="Arial" w:eastAsia="Times New Roman" w:hAnsi="Arial" w:cs="Times New Roman (Headings CS)"/>
      <w:color w:val="001E62"/>
      <w:sz w:val="54"/>
      <w:szCs w:val="56"/>
    </w:rPr>
  </w:style>
  <w:style w:type="paragraph" w:styleId="Subtitle">
    <w:name w:val="Subtitle"/>
    <w:basedOn w:val="Normal"/>
    <w:next w:val="Normal"/>
    <w:uiPriority w:val="11"/>
    <w:qFormat/>
    <w:pPr>
      <w:spacing w:after="160"/>
    </w:pPr>
    <w:rPr>
      <w:spacing w:val="15"/>
      <w:sz w:val="32"/>
    </w:rPr>
  </w:style>
  <w:style w:type="paragraph" w:styleId="Date">
    <w:name w:val="Date"/>
    <w:basedOn w:val="Normal"/>
    <w:next w:val="Title"/>
    <w:autoRedefine/>
    <w:pPr>
      <w:spacing w:after="360"/>
    </w:pPr>
  </w:style>
  <w:style w:type="character" w:customStyle="1" w:styleId="DateChar">
    <w:name w:val="Date Char"/>
    <w:basedOn w:val="DefaultParagraphFont"/>
    <w:rPr>
      <w:rFonts w:ascii="Arial" w:hAnsi="Arial"/>
      <w:color w:val="001E62"/>
      <w:sz w:val="20"/>
    </w:rPr>
  </w:style>
  <w:style w:type="character" w:styleId="IntenseEmphasis">
    <w:name w:val="Intense Emphasis"/>
    <w:basedOn w:val="DefaultParagraphFont"/>
    <w:rPr>
      <w:rFonts w:ascii="Arial" w:hAnsi="Arial"/>
      <w:b/>
      <w:i/>
      <w:iCs/>
      <w:color w:val="001E62"/>
    </w:rPr>
  </w:style>
  <w:style w:type="paragraph" w:styleId="IntenseQuote">
    <w:name w:val="Intense Quote"/>
    <w:basedOn w:val="Quote"/>
    <w:next w:val="Normal"/>
    <w:autoRedefine/>
    <w:rPr>
      <w:rFonts w:cs="Times New Roman (Body CS)"/>
      <w:b/>
    </w:rPr>
  </w:style>
  <w:style w:type="character" w:customStyle="1" w:styleId="IntenseQuoteChar">
    <w:name w:val="Intense Quote Char"/>
    <w:basedOn w:val="DefaultParagraphFont"/>
    <w:rPr>
      <w:rFonts w:ascii="Montserrat" w:hAnsi="Montserrat" w:cs="Times New Roman (Body CS)"/>
      <w:b/>
      <w:i/>
      <w:iCs/>
      <w:color w:val="001E62"/>
      <w:sz w:val="20"/>
    </w:rPr>
  </w:style>
  <w:style w:type="character" w:styleId="IntenseReference">
    <w:name w:val="Intense Reference"/>
    <w:basedOn w:val="DefaultParagraphFont"/>
    <w:rPr>
      <w:rFonts w:ascii="Montserrat" w:hAnsi="Montserrat"/>
      <w:b/>
      <w:bCs/>
      <w:i w:val="0"/>
      <w:caps/>
      <w:smallCaps w:val="0"/>
      <w:color w:val="04143C"/>
      <w:spacing w:val="0"/>
    </w:rPr>
  </w:style>
  <w:style w:type="paragraph" w:styleId="Quote">
    <w:name w:val="Quote"/>
    <w:basedOn w:val="Normal"/>
    <w:next w:val="Normal"/>
    <w:autoRedefine/>
    <w:pPr>
      <w:spacing w:before="240"/>
      <w:ind w:left="426"/>
    </w:pPr>
    <w:rPr>
      <w:i/>
      <w:iCs/>
    </w:rPr>
  </w:style>
  <w:style w:type="character" w:customStyle="1" w:styleId="QuoteChar">
    <w:name w:val="Quote Char"/>
    <w:basedOn w:val="DefaultParagraphFont"/>
    <w:rPr>
      <w:rFonts w:ascii="Montserrat" w:hAnsi="Montserrat"/>
      <w:b w:val="0"/>
      <w:i/>
      <w:iCs/>
      <w:color w:val="001E62"/>
      <w:sz w:val="20"/>
    </w:rPr>
  </w:style>
  <w:style w:type="character" w:styleId="Strong">
    <w:name w:val="Strong"/>
    <w:basedOn w:val="DefaultParagraphFont"/>
    <w:rPr>
      <w:rFonts w:ascii="Arial" w:hAnsi="Arial"/>
      <w:b/>
      <w:bCs/>
      <w:i w:val="0"/>
      <w:color w:val="001E62"/>
    </w:rPr>
  </w:style>
  <w:style w:type="character" w:styleId="SubtleEmphasis">
    <w:name w:val="Subtle Emphasis"/>
    <w:basedOn w:val="DefaultParagraphFont"/>
    <w:rPr>
      <w:rFonts w:ascii="Montserrat" w:hAnsi="Montserrat"/>
      <w:b w:val="0"/>
      <w:i/>
      <w:iCs/>
      <w:color w:val="001E62"/>
    </w:rPr>
  </w:style>
  <w:style w:type="character" w:styleId="SubtleReference">
    <w:name w:val="Subtle Reference"/>
    <w:basedOn w:val="DefaultParagraphFont"/>
    <w:rPr>
      <w:rFonts w:ascii="Montserrat" w:hAnsi="Montserrat"/>
      <w:b w:val="0"/>
      <w:i w:val="0"/>
      <w:caps/>
      <w:smallCaps w:val="0"/>
      <w:color w:val="04143C"/>
    </w:rPr>
  </w:style>
  <w:style w:type="paragraph" w:styleId="TOCHeading">
    <w:name w:val="TOC Heading"/>
    <w:basedOn w:val="Heading1"/>
    <w:next w:val="Normal"/>
  </w:style>
  <w:style w:type="character" w:customStyle="1" w:styleId="SubtitleChar">
    <w:name w:val="Subtitle Char"/>
    <w:basedOn w:val="DefaultParagraphFont"/>
    <w:rPr>
      <w:rFonts w:ascii="Montserrat" w:eastAsia="Times New Roman" w:hAnsi="Montserrat"/>
      <w:color w:val="001E62"/>
      <w:spacing w:val="15"/>
      <w:sz w:val="32"/>
    </w:rPr>
  </w:style>
  <w:style w:type="character" w:styleId="PlaceholderText">
    <w:name w:val="Placeholder Text"/>
    <w:basedOn w:val="DefaultParagraphFont"/>
    <w:rPr>
      <w:rFonts w:ascii="Montserrat" w:hAnsi="Montserrat"/>
      <w:b w:val="0"/>
      <w:i w:val="0"/>
      <w:color w:val="808080"/>
    </w:rPr>
  </w:style>
  <w:style w:type="character" w:styleId="Emphasis">
    <w:name w:val="Emphasis"/>
    <w:basedOn w:val="DefaultParagraphFont"/>
    <w:rPr>
      <w:rFonts w:ascii="Arial" w:hAnsi="Arial"/>
      <w:b w:val="0"/>
      <w:i/>
      <w:iCs/>
      <w:color w:val="001E62"/>
    </w:rPr>
  </w:style>
  <w:style w:type="paragraph" w:styleId="ListParagraph">
    <w:name w:val="List Paragraph"/>
    <w:basedOn w:val="Normal"/>
    <w:autoRedefine/>
    <w:pPr>
      <w:numPr>
        <w:numId w:val="5"/>
      </w:numPr>
    </w:pPr>
  </w:style>
  <w:style w:type="paragraph" w:customStyle="1" w:styleId="BasicParagraph">
    <w:name w:val="[Basic Paragraph]"/>
    <w:basedOn w:val="Normal"/>
    <w:pPr>
      <w:autoSpaceDE w:val="0"/>
      <w:textAlignment w:val="center"/>
    </w:pPr>
    <w:rPr>
      <w:rFonts w:ascii="HelveticaNeueLT-Roman" w:hAnsi="HelveticaNeueLT-Roman" w:cs="HelveticaNeueLT-Roman"/>
      <w:color w:val="6F6F6E"/>
      <w:szCs w:val="20"/>
      <w:lang w:val="en-GB"/>
    </w:rPr>
  </w:style>
  <w:style w:type="paragraph" w:styleId="ListBullet">
    <w:name w:val="List Bullet"/>
    <w:basedOn w:val="Normal"/>
    <w:pPr>
      <w:numPr>
        <w:numId w:val="4"/>
      </w:numPr>
    </w:pPr>
  </w:style>
  <w:style w:type="paragraph" w:styleId="ListBullet2">
    <w:name w:val="List Bullet 2"/>
    <w:basedOn w:val="ListBullet"/>
    <w:pPr>
      <w:numPr>
        <w:numId w:val="3"/>
      </w:numPr>
    </w:pPr>
  </w:style>
  <w:style w:type="paragraph" w:styleId="ListBullet3">
    <w:name w:val="List Bullet 3"/>
    <w:basedOn w:val="ListBullet"/>
    <w:pPr>
      <w:numPr>
        <w:numId w:val="2"/>
      </w:numPr>
    </w:pPr>
  </w:style>
  <w:style w:type="paragraph" w:styleId="EnvelopeAddress">
    <w:name w:val="envelope address"/>
    <w:basedOn w:val="Normal"/>
    <w:pPr>
      <w:ind w:left="2880"/>
    </w:p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00"/>
    </w:pPr>
  </w:style>
  <w:style w:type="paragraph" w:styleId="TOC3">
    <w:name w:val="toc 3"/>
    <w:basedOn w:val="Normal"/>
    <w:next w:val="Normal"/>
    <w:autoRedefine/>
    <w:pPr>
      <w:spacing w:after="100"/>
      <w:ind w:left="400"/>
    </w:pPr>
  </w:style>
  <w:style w:type="paragraph" w:styleId="TOC4">
    <w:name w:val="toc 4"/>
    <w:basedOn w:val="Normal"/>
    <w:next w:val="Normal"/>
    <w:autoRedefine/>
    <w:pPr>
      <w:spacing w:after="100"/>
      <w:ind w:left="600"/>
    </w:pPr>
  </w:style>
  <w:style w:type="character" w:customStyle="1" w:styleId="StyleStrongLatinMontserratSemiBold14pt">
    <w:name w:val="Style Strong + (Latin) Montserrat SemiBold 14 pt"/>
    <w:basedOn w:val="Strong"/>
    <w:rPr>
      <w:rFonts w:ascii="Arial" w:hAnsi="Arial"/>
      <w:b/>
      <w:bCs/>
      <w:i w:val="0"/>
      <w:color w:val="001E62"/>
      <w:sz w:val="28"/>
    </w:rPr>
  </w:style>
  <w:style w:type="numbering" w:customStyle="1" w:styleId="LFO9">
    <w:name w:val="LFO9"/>
    <w:basedOn w:val="NoList"/>
    <w:pPr>
      <w:numPr>
        <w:numId w:val="2"/>
      </w:numPr>
    </w:pPr>
  </w:style>
  <w:style w:type="numbering" w:customStyle="1" w:styleId="LFO10">
    <w:name w:val="LFO10"/>
    <w:basedOn w:val="NoList"/>
    <w:pPr>
      <w:numPr>
        <w:numId w:val="3"/>
      </w:numPr>
    </w:pPr>
  </w:style>
  <w:style w:type="numbering" w:customStyle="1" w:styleId="LFO11">
    <w:name w:val="LFO11"/>
    <w:basedOn w:val="NoList"/>
    <w:pPr>
      <w:numPr>
        <w:numId w:val="4"/>
      </w:numPr>
    </w:pPr>
  </w:style>
  <w:style w:type="numbering" w:customStyle="1" w:styleId="LFO17">
    <w:name w:val="LFO17"/>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1724</Words>
  <Characters>9833</Characters>
  <Application>Microsoft Office Word</Application>
  <DocSecurity>0</DocSecurity>
  <Lines>81</Lines>
  <Paragraphs>23</Paragraphs>
  <ScaleCrop>false</ScaleCrop>
  <Company>London Business School</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Almeida</dc:creator>
  <dc:description/>
  <cp:lastModifiedBy>Lucy Welch</cp:lastModifiedBy>
  <cp:revision>2</cp:revision>
  <dcterms:created xsi:type="dcterms:W3CDTF">2023-10-20T12:16:00Z</dcterms:created>
  <dcterms:modified xsi:type="dcterms:W3CDTF">2023-10-20T12:16:00Z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0x0101003364134939534D4CB4F39B5551979CBE</vt:lpwstr>
  </property>
</Properties>
</file>