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722"/>
        <w:gridCol w:w="1134"/>
        <w:gridCol w:w="2268"/>
      </w:tblGrid>
      <w:tr w:rsidR="004502CB" w:rsidRPr="008F12C7" w14:paraId="60E00E05" w14:textId="77777777" w:rsidTr="001201EE">
        <w:tc>
          <w:tcPr>
            <w:tcW w:w="1668" w:type="dxa"/>
            <w:shd w:val="clear" w:color="auto" w:fill="001E62"/>
          </w:tcPr>
          <w:p w14:paraId="6C072367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</w:tc>
        <w:tc>
          <w:tcPr>
            <w:tcW w:w="6124" w:type="dxa"/>
            <w:gridSpan w:val="3"/>
          </w:tcPr>
          <w:p w14:paraId="68E629D7" w14:textId="31D695E5" w:rsidR="004502CB" w:rsidRPr="007C0739" w:rsidRDefault="00F8423C" w:rsidP="001201EE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lang w:eastAsia="en-US"/>
              </w:rPr>
              <w:t xml:space="preserve">Relationship Manager, </w:t>
            </w:r>
            <w:r w:rsidR="00A31EA6">
              <w:rPr>
                <w:rFonts w:ascii="HelveticaNeueLT Std" w:hAnsi="HelveticaNeueLT Std" w:cs="Arial"/>
                <w:b/>
                <w:sz w:val="22"/>
                <w:lang w:eastAsia="en-US"/>
              </w:rPr>
              <w:t>Consulting</w:t>
            </w:r>
          </w:p>
        </w:tc>
      </w:tr>
      <w:tr w:rsidR="004502CB" w:rsidRPr="008F12C7" w14:paraId="0CC09CC8" w14:textId="77777777" w:rsidTr="001201EE">
        <w:tc>
          <w:tcPr>
            <w:tcW w:w="1668" w:type="dxa"/>
            <w:shd w:val="clear" w:color="auto" w:fill="001E62"/>
          </w:tcPr>
          <w:p w14:paraId="0E86CBC2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</w:tc>
        <w:tc>
          <w:tcPr>
            <w:tcW w:w="6124" w:type="dxa"/>
            <w:gridSpan w:val="3"/>
          </w:tcPr>
          <w:p w14:paraId="64438134" w14:textId="32E96DC5" w:rsidR="004502CB" w:rsidRPr="007C0739" w:rsidRDefault="006A23B3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 w:rsidRPr="006A23B3">
              <w:rPr>
                <w:rFonts w:ascii="HelveticaNeueLT Std" w:hAnsi="HelveticaNeueLT Std" w:cs="Arial"/>
                <w:b/>
                <w:sz w:val="22"/>
                <w:lang w:eastAsia="en-US"/>
              </w:rPr>
              <w:t xml:space="preserve">Head of </w:t>
            </w:r>
            <w:r w:rsidR="00A31EA6">
              <w:rPr>
                <w:rFonts w:ascii="HelveticaNeueLT Std" w:hAnsi="HelveticaNeueLT Std" w:cs="Arial"/>
                <w:b/>
                <w:sz w:val="22"/>
                <w:lang w:eastAsia="en-US"/>
              </w:rPr>
              <w:t>Consulting</w:t>
            </w:r>
          </w:p>
        </w:tc>
      </w:tr>
      <w:tr w:rsidR="004502CB" w:rsidRPr="008F12C7" w14:paraId="5307F573" w14:textId="77777777" w:rsidTr="001201EE">
        <w:trPr>
          <w:trHeight w:val="576"/>
        </w:trPr>
        <w:tc>
          <w:tcPr>
            <w:tcW w:w="1668" w:type="dxa"/>
            <w:shd w:val="clear" w:color="auto" w:fill="001E62"/>
          </w:tcPr>
          <w:p w14:paraId="544B65EB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6124" w:type="dxa"/>
            <w:gridSpan w:val="3"/>
          </w:tcPr>
          <w:p w14:paraId="6B91CA3A" w14:textId="77777777" w:rsidR="004502CB" w:rsidRPr="007C0739" w:rsidRDefault="00F8423C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 w:rsidRPr="00F8423C">
              <w:rPr>
                <w:rFonts w:ascii="HelveticaNeueLT Std" w:hAnsi="HelveticaNeueLT Std" w:cs="Arial"/>
                <w:b/>
                <w:sz w:val="22"/>
                <w:lang w:eastAsia="en-US"/>
              </w:rPr>
              <w:t>Career Centre</w:t>
            </w:r>
          </w:p>
        </w:tc>
      </w:tr>
      <w:tr w:rsidR="004502CB" w:rsidRPr="008F12C7" w14:paraId="0136076B" w14:textId="77777777" w:rsidTr="001201EE">
        <w:tc>
          <w:tcPr>
            <w:tcW w:w="1668" w:type="dxa"/>
            <w:shd w:val="clear" w:color="auto" w:fill="001E62"/>
          </w:tcPr>
          <w:p w14:paraId="736029A5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2722" w:type="dxa"/>
          </w:tcPr>
          <w:p w14:paraId="4B2A9C39" w14:textId="77777777" w:rsidR="004502CB" w:rsidRPr="00D01F88" w:rsidRDefault="00E61105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 w:rsidRPr="006A23B3">
              <w:rPr>
                <w:rFonts w:ascii="HelveticaNeueLT Std" w:hAnsi="HelveticaNeueLT Std" w:cs="Arial"/>
                <w:b/>
                <w:sz w:val="22"/>
                <w:lang w:eastAsia="en-US"/>
              </w:rPr>
              <w:t>B</w:t>
            </w:r>
            <w:r w:rsidR="00525269" w:rsidRPr="006A23B3">
              <w:rPr>
                <w:rFonts w:ascii="HelveticaNeueLT Std" w:hAnsi="HelveticaNeueLT Std" w:cs="Arial"/>
                <w:b/>
                <w:sz w:val="22"/>
                <w:lang w:eastAsia="en-US"/>
              </w:rPr>
              <w:t>usiness Services</w:t>
            </w:r>
            <w:r w:rsidR="00D01F88" w:rsidRPr="00D01F88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001E62"/>
          </w:tcPr>
          <w:p w14:paraId="3CB80528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2268" w:type="dxa"/>
          </w:tcPr>
          <w:p w14:paraId="7AAAB02F" w14:textId="77777777" w:rsidR="004502CB" w:rsidRPr="00D01F88" w:rsidRDefault="00F8423C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 w:rsidRPr="006A23B3">
              <w:rPr>
                <w:rFonts w:ascii="HelveticaNeueLT Std" w:hAnsi="HelveticaNeueLT Std" w:cs="Arial"/>
                <w:b/>
                <w:sz w:val="22"/>
                <w:lang w:eastAsia="en-US"/>
              </w:rPr>
              <w:t>3</w:t>
            </w:r>
          </w:p>
        </w:tc>
      </w:tr>
    </w:tbl>
    <w:p w14:paraId="10C74F98" w14:textId="77777777" w:rsidR="004502CB" w:rsidRDefault="004502CB" w:rsidP="004502CB">
      <w:pPr>
        <w:spacing w:after="160" w:line="256" w:lineRule="auto"/>
        <w:rPr>
          <w:rFonts w:ascii="HelveticaNeueLT Std" w:hAnsi="HelveticaNeue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02CB" w:rsidRPr="00A31EA6" w14:paraId="7CA0D239" w14:textId="77777777" w:rsidTr="004502CB">
        <w:trPr>
          <w:trHeight w:val="416"/>
        </w:trPr>
        <w:tc>
          <w:tcPr>
            <w:tcW w:w="8897" w:type="dxa"/>
            <w:shd w:val="clear" w:color="auto" w:fill="001E62"/>
          </w:tcPr>
          <w:p w14:paraId="494524C7" w14:textId="77777777" w:rsidR="004502CB" w:rsidRPr="00A31EA6" w:rsidRDefault="004502CB" w:rsidP="009F0B63">
            <w:pPr>
              <w:rPr>
                <w:rFonts w:asciiTheme="minorHAnsi" w:hAnsiTheme="minorHAnsi" w:cstheme="minorHAnsi"/>
                <w:b/>
                <w:sz w:val="22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4502CB" w:rsidRPr="00A31EA6" w14:paraId="310CFFF4" w14:textId="77777777" w:rsidTr="009F0B63">
        <w:trPr>
          <w:trHeight w:val="1086"/>
        </w:trPr>
        <w:tc>
          <w:tcPr>
            <w:tcW w:w="8897" w:type="dxa"/>
          </w:tcPr>
          <w:p w14:paraId="40ADDAD4" w14:textId="77777777" w:rsidR="004502CB" w:rsidRPr="00A31EA6" w:rsidRDefault="004502CB" w:rsidP="009F0B63">
            <w:pPr>
              <w:rPr>
                <w:rFonts w:asciiTheme="minorHAnsi" w:hAnsiTheme="minorHAnsi" w:cstheme="minorHAnsi"/>
              </w:rPr>
            </w:pPr>
            <w:r w:rsidRPr="00A31EA6">
              <w:rPr>
                <w:rFonts w:asciiTheme="minorHAnsi" w:hAnsiTheme="minorHAnsi" w:cstheme="minorHAnsi"/>
              </w:rPr>
              <w:t xml:space="preserve">At London Business School we have a profound impact on the way the world does business. Our departments work hard to ensure that we are continually delivering a world-class service, academic excellence and that our course offering maintains our place as a leading business school. </w:t>
            </w:r>
          </w:p>
          <w:p w14:paraId="68B0D63F" w14:textId="77777777" w:rsidR="004502CB" w:rsidRPr="00A31EA6" w:rsidRDefault="004502CB" w:rsidP="009F0B63">
            <w:pPr>
              <w:rPr>
                <w:rFonts w:asciiTheme="minorHAnsi" w:hAnsiTheme="minorHAnsi" w:cstheme="minorHAnsi"/>
              </w:rPr>
            </w:pPr>
            <w:r w:rsidRPr="00A31EA6">
              <w:rPr>
                <w:rFonts w:asciiTheme="minorHAnsi" w:hAnsiTheme="minorHAnsi" w:cstheme="minorHAnsi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A31EA6">
              <w:rPr>
                <w:rFonts w:asciiTheme="minorHAnsi" w:hAnsiTheme="minorHAnsi" w:cstheme="minorHAnsi"/>
              </w:rPr>
              <w:t>customised</w:t>
            </w:r>
            <w:proofErr w:type="spellEnd"/>
            <w:r w:rsidRPr="00A31EA6">
              <w:rPr>
                <w:rFonts w:asciiTheme="minorHAnsi" w:hAnsiTheme="minorHAnsi" w:cstheme="minorHAnsi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631829EB" w14:textId="77777777" w:rsidR="004502CB" w:rsidRPr="00A31EA6" w:rsidRDefault="004502CB" w:rsidP="009F0B63">
            <w:pPr>
              <w:rPr>
                <w:rFonts w:asciiTheme="minorHAnsi" w:hAnsiTheme="minorHAnsi" w:cstheme="minorHAnsi"/>
              </w:rPr>
            </w:pPr>
            <w:r w:rsidRPr="00A31EA6">
              <w:rPr>
                <w:rFonts w:asciiTheme="minorHAnsi" w:hAnsiTheme="minorHAnsi" w:cstheme="minorHAnsi"/>
              </w:rPr>
              <w:t xml:space="preserve">With London in our hearts, we draw from its status as a financial, entrepreneurial and cultural hub to attract a diverse range of students and faculty, creating an abundance of opportunities to network with industry experts and alumni worldwide. </w:t>
            </w:r>
          </w:p>
        </w:tc>
      </w:tr>
    </w:tbl>
    <w:p w14:paraId="5AC3F67A" w14:textId="77777777" w:rsidR="004502CB" w:rsidRPr="00A31EA6" w:rsidRDefault="004502CB" w:rsidP="004502CB">
      <w:pPr>
        <w:spacing w:after="160" w:line="256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A31EA6" w14:paraId="0F0AF505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2AD3810F" w14:textId="77777777" w:rsidR="00B80D24" w:rsidRPr="00A31EA6" w:rsidRDefault="00B80D24" w:rsidP="00F8423C">
            <w:pPr>
              <w:rPr>
                <w:rFonts w:asciiTheme="minorHAnsi" w:hAnsiTheme="minorHAnsi" w:cstheme="minorHAnsi"/>
                <w:b/>
                <w:sz w:val="22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B80D24" w:rsidRPr="00A31EA6" w14:paraId="7B0BA176" w14:textId="77777777" w:rsidTr="009F0B63">
        <w:trPr>
          <w:trHeight w:val="1086"/>
        </w:trPr>
        <w:tc>
          <w:tcPr>
            <w:tcW w:w="8897" w:type="dxa"/>
          </w:tcPr>
          <w:p w14:paraId="326668C1" w14:textId="77777777" w:rsidR="00F8423C" w:rsidRPr="00A31EA6" w:rsidRDefault="00F8423C" w:rsidP="00F8423C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 xml:space="preserve">Career Centre is part of a wider team incorporating Degree </w:t>
            </w:r>
            <w:proofErr w:type="spellStart"/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>Programmes</w:t>
            </w:r>
            <w:proofErr w:type="spellEnd"/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 xml:space="preserve"> and is known as Degree Education and Career Centre reporting to the Associate Dean. Career Centre comprises:</w:t>
            </w:r>
          </w:p>
          <w:p w14:paraId="1DCD86D6" w14:textId="77777777" w:rsidR="00F8423C" w:rsidRPr="00A31EA6" w:rsidRDefault="00F8423C" w:rsidP="00A31EA6">
            <w:pPr>
              <w:pStyle w:val="ListParagraph"/>
              <w:framePr w:wrap="around"/>
              <w:numPr>
                <w:ilvl w:val="0"/>
                <w:numId w:val="31"/>
              </w:numPr>
              <w:rPr>
                <w:lang w:eastAsia="en-US"/>
              </w:rPr>
            </w:pPr>
            <w:r w:rsidRPr="00A31EA6">
              <w:rPr>
                <w:lang w:eastAsia="en-US"/>
              </w:rPr>
              <w:t xml:space="preserve">an Employer Engagement </w:t>
            </w:r>
            <w:proofErr w:type="gramStart"/>
            <w:r w:rsidRPr="00A31EA6">
              <w:rPr>
                <w:lang w:eastAsia="en-US"/>
              </w:rPr>
              <w:t>Team;</w:t>
            </w:r>
            <w:proofErr w:type="gramEnd"/>
          </w:p>
          <w:p w14:paraId="70BA8799" w14:textId="77777777" w:rsidR="00F8423C" w:rsidRPr="00A31EA6" w:rsidRDefault="00F8423C" w:rsidP="00A31EA6">
            <w:pPr>
              <w:pStyle w:val="ListParagraph"/>
              <w:framePr w:wrap="around"/>
              <w:numPr>
                <w:ilvl w:val="0"/>
                <w:numId w:val="31"/>
              </w:numPr>
              <w:rPr>
                <w:lang w:eastAsia="en-US"/>
              </w:rPr>
            </w:pPr>
            <w:r w:rsidRPr="00A31EA6">
              <w:rPr>
                <w:lang w:eastAsia="en-US"/>
              </w:rPr>
              <w:t xml:space="preserve">a Leadership </w:t>
            </w:r>
            <w:proofErr w:type="spellStart"/>
            <w:r w:rsidRPr="00A31EA6">
              <w:rPr>
                <w:lang w:eastAsia="en-US"/>
              </w:rPr>
              <w:t>Programmes</w:t>
            </w:r>
            <w:proofErr w:type="spellEnd"/>
            <w:r w:rsidRPr="00A31EA6">
              <w:rPr>
                <w:lang w:eastAsia="en-US"/>
              </w:rPr>
              <w:t xml:space="preserve"> Careers Team (for EMBAs, Sloan Fellows and Alumni</w:t>
            </w:r>
            <w:proofErr w:type="gramStart"/>
            <w:r w:rsidRPr="00A31EA6">
              <w:rPr>
                <w:lang w:eastAsia="en-US"/>
              </w:rPr>
              <w:t>);</w:t>
            </w:r>
            <w:proofErr w:type="gramEnd"/>
          </w:p>
          <w:p w14:paraId="3EF0D9D7" w14:textId="77777777" w:rsidR="00F8423C" w:rsidRPr="00A31EA6" w:rsidRDefault="00F8423C" w:rsidP="00A31EA6">
            <w:pPr>
              <w:pStyle w:val="ListParagraph"/>
              <w:framePr w:wrap="around"/>
              <w:numPr>
                <w:ilvl w:val="0"/>
                <w:numId w:val="31"/>
              </w:numPr>
              <w:rPr>
                <w:lang w:eastAsia="en-US"/>
              </w:rPr>
            </w:pPr>
            <w:r w:rsidRPr="00A31EA6">
              <w:rPr>
                <w:lang w:eastAsia="en-US"/>
              </w:rPr>
              <w:t>an Early &amp; Mid-Careers Team (for MiM/</w:t>
            </w:r>
            <w:proofErr w:type="spellStart"/>
            <w:r w:rsidRPr="00A31EA6">
              <w:rPr>
                <w:lang w:eastAsia="en-US"/>
              </w:rPr>
              <w:t>GMiM</w:t>
            </w:r>
            <w:proofErr w:type="spellEnd"/>
            <w:r w:rsidRPr="00A31EA6">
              <w:rPr>
                <w:lang w:eastAsia="en-US"/>
              </w:rPr>
              <w:t xml:space="preserve">, MFA, </w:t>
            </w:r>
            <w:r w:rsidR="001201EE" w:rsidRPr="00A31EA6">
              <w:rPr>
                <w:lang w:eastAsia="en-US"/>
              </w:rPr>
              <w:t xml:space="preserve">MAM, </w:t>
            </w:r>
            <w:proofErr w:type="spellStart"/>
            <w:r w:rsidRPr="00A31EA6">
              <w:rPr>
                <w:lang w:eastAsia="en-US"/>
              </w:rPr>
              <w:t>MiF</w:t>
            </w:r>
            <w:proofErr w:type="spellEnd"/>
            <w:r w:rsidRPr="00A31EA6">
              <w:rPr>
                <w:lang w:eastAsia="en-US"/>
              </w:rPr>
              <w:t xml:space="preserve"> and MBA students</w:t>
            </w:r>
            <w:proofErr w:type="gramStart"/>
            <w:r w:rsidRPr="00A31EA6">
              <w:rPr>
                <w:lang w:eastAsia="en-US"/>
              </w:rPr>
              <w:t>);</w:t>
            </w:r>
            <w:proofErr w:type="gramEnd"/>
          </w:p>
          <w:p w14:paraId="38E1DE41" w14:textId="77777777" w:rsidR="00F8423C" w:rsidRPr="00A31EA6" w:rsidRDefault="00F8423C" w:rsidP="00A31EA6">
            <w:pPr>
              <w:pStyle w:val="ListParagraph"/>
              <w:framePr w:wrap="around"/>
              <w:numPr>
                <w:ilvl w:val="0"/>
                <w:numId w:val="31"/>
              </w:numPr>
              <w:rPr>
                <w:lang w:eastAsia="en-US"/>
              </w:rPr>
            </w:pPr>
            <w:r w:rsidRPr="00A31EA6">
              <w:rPr>
                <w:lang w:eastAsia="en-US"/>
              </w:rPr>
              <w:t xml:space="preserve">an Operations </w:t>
            </w:r>
            <w:proofErr w:type="gramStart"/>
            <w:r w:rsidRPr="00A31EA6">
              <w:rPr>
                <w:lang w:eastAsia="en-US"/>
              </w:rPr>
              <w:t>Team;</w:t>
            </w:r>
            <w:proofErr w:type="gramEnd"/>
          </w:p>
          <w:p w14:paraId="4C183296" w14:textId="77777777" w:rsidR="00F8423C" w:rsidRPr="00A31EA6" w:rsidRDefault="00F8423C" w:rsidP="00A31EA6">
            <w:pPr>
              <w:pStyle w:val="ListParagraph"/>
              <w:framePr w:wrap="around"/>
              <w:numPr>
                <w:ilvl w:val="0"/>
                <w:numId w:val="31"/>
              </w:numPr>
              <w:rPr>
                <w:lang w:eastAsia="en-US"/>
              </w:rPr>
            </w:pPr>
            <w:r w:rsidRPr="00A31EA6">
              <w:rPr>
                <w:lang w:eastAsia="en-US"/>
              </w:rPr>
              <w:t>a Professional Development team.</w:t>
            </w:r>
          </w:p>
          <w:p w14:paraId="57598F90" w14:textId="77777777" w:rsidR="00F8423C" w:rsidRPr="00A31EA6" w:rsidRDefault="00F8423C" w:rsidP="00F8423C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 xml:space="preserve">Together with faculty teaching &amp; learning, Career Centre lies at the heart of student &amp; alumni career outcomes which are a key indicator and consequential driver of the success of any business school. Student &amp; alumni career success drives heightened student interest, quality of student admission as well as further engagement with fast-growing and blue-chip companies and, thus, further student &amp; alumni career success. Career Centre inspires and supports students &amp; alumni to </w:t>
            </w:r>
            <w:proofErr w:type="spellStart"/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>maximise</w:t>
            </w:r>
            <w:proofErr w:type="spellEnd"/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 xml:space="preserve"> their career potential through the provision of a market-relevant career curriculum and engages with </w:t>
            </w:r>
            <w:proofErr w:type="spellStart"/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>organisations</w:t>
            </w:r>
            <w:proofErr w:type="spellEnd"/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 xml:space="preserve"> to understand their talent needs, as well as facilitate recruitment and networking opportunities between employers and our students &amp; alumni.</w:t>
            </w:r>
          </w:p>
          <w:p w14:paraId="21E576CF" w14:textId="57AAB2B8" w:rsidR="00B80D24" w:rsidRPr="00A31EA6" w:rsidRDefault="00F8423C" w:rsidP="00F8423C">
            <w:pP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 xml:space="preserve">The Employer Engagement Team focuses on building a pipeline of effective relationships with companies to deliver career opportunities to our students and alumni, as well as providing insights in to the </w:t>
            </w:r>
            <w:proofErr w:type="spellStart"/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>labour</w:t>
            </w:r>
            <w:proofErr w:type="spellEnd"/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 xml:space="preserve"> market to students and colleagues. We welcome over 200 companies to campus each year through a variety of events </w:t>
            </w:r>
            <w:r w:rsidR="00A31EA6" w:rsidRPr="00A31EA6">
              <w:rPr>
                <w:rFonts w:asciiTheme="minorHAnsi" w:hAnsiTheme="minorHAnsi" w:cstheme="minorHAnsi"/>
                <w:szCs w:val="20"/>
                <w:lang w:eastAsia="en-US"/>
              </w:rPr>
              <w:t>and</w:t>
            </w:r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 xml:space="preserve"> host over 4500 jobs on our job board each year.  Staff are also regularly meeting with students to help them understand and explore career paths </w:t>
            </w:r>
            <w:r w:rsidR="00A31EA6" w:rsidRPr="00A31EA6">
              <w:rPr>
                <w:rFonts w:asciiTheme="minorHAnsi" w:hAnsiTheme="minorHAnsi" w:cstheme="minorHAnsi"/>
                <w:szCs w:val="20"/>
                <w:lang w:eastAsia="en-US"/>
              </w:rPr>
              <w:t>into</w:t>
            </w:r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 xml:space="preserve"> specific sectors.</w:t>
            </w:r>
          </w:p>
        </w:tc>
      </w:tr>
    </w:tbl>
    <w:p w14:paraId="083E29E6" w14:textId="77777777" w:rsidR="00B80D24" w:rsidRPr="00A31EA6" w:rsidRDefault="00B80D24" w:rsidP="008A0D7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A31EA6" w14:paraId="72A831EA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53DA241C" w14:textId="77777777" w:rsidR="00B80D24" w:rsidRPr="00A31EA6" w:rsidRDefault="00B80D24" w:rsidP="009F0B63">
            <w:pPr>
              <w:rPr>
                <w:rFonts w:asciiTheme="minorHAnsi" w:hAnsiTheme="minorHAnsi" w:cstheme="minorHAnsi"/>
                <w:b/>
                <w:sz w:val="22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  <w:lastRenderedPageBreak/>
              <w:t>Job Purpose</w:t>
            </w:r>
          </w:p>
        </w:tc>
      </w:tr>
      <w:tr w:rsidR="00B80D24" w:rsidRPr="00A31EA6" w14:paraId="48C7213A" w14:textId="77777777" w:rsidTr="009F0B63">
        <w:trPr>
          <w:trHeight w:val="1086"/>
        </w:trPr>
        <w:tc>
          <w:tcPr>
            <w:tcW w:w="8897" w:type="dxa"/>
          </w:tcPr>
          <w:p w14:paraId="398FE5DB" w14:textId="77777777" w:rsidR="00F8423C" w:rsidRPr="00A31EA6" w:rsidRDefault="00F8423C" w:rsidP="00F8423C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szCs w:val="20"/>
                <w:lang w:eastAsia="en-US"/>
              </w:rPr>
              <w:t>The Relationship Manager will:</w:t>
            </w:r>
          </w:p>
          <w:p w14:paraId="6071C22C" w14:textId="4C24C997" w:rsidR="00F8423C" w:rsidRPr="00A31EA6" w:rsidRDefault="00F32FCC" w:rsidP="00A31EA6">
            <w:pPr>
              <w:pStyle w:val="ListParagraph"/>
              <w:framePr w:wrap="around"/>
              <w:numPr>
                <w:ilvl w:val="0"/>
                <w:numId w:val="31"/>
              </w:numPr>
              <w:rPr>
                <w:lang w:eastAsia="en-US"/>
              </w:rPr>
            </w:pPr>
            <w:r w:rsidRPr="00A31EA6">
              <w:rPr>
                <w:lang w:eastAsia="en-US"/>
              </w:rPr>
              <w:t>Alongside</w:t>
            </w:r>
            <w:r w:rsidR="00F8423C" w:rsidRPr="00A31EA6">
              <w:rPr>
                <w:lang w:eastAsia="en-US"/>
              </w:rPr>
              <w:t xml:space="preserve"> the Head of </w:t>
            </w:r>
            <w:r w:rsidR="00A31EA6" w:rsidRPr="00A31EA6">
              <w:rPr>
                <w:lang w:eastAsia="en-US"/>
              </w:rPr>
              <w:t>Consulting</w:t>
            </w:r>
            <w:r w:rsidRPr="00A31EA6">
              <w:rPr>
                <w:lang w:eastAsia="en-US"/>
              </w:rPr>
              <w:t xml:space="preserve">, lead on business development to </w:t>
            </w:r>
            <w:r w:rsidR="00F8423C" w:rsidRPr="00A31EA6">
              <w:rPr>
                <w:lang w:eastAsia="en-US"/>
              </w:rPr>
              <w:t>build and maintain relationships between London Business School and external companies</w:t>
            </w:r>
            <w:r w:rsidRPr="00A31EA6">
              <w:rPr>
                <w:lang w:eastAsia="en-US"/>
              </w:rPr>
              <w:t>,</w:t>
            </w:r>
            <w:r w:rsidR="00F8423C" w:rsidRPr="00A31EA6">
              <w:rPr>
                <w:lang w:eastAsia="en-US"/>
              </w:rPr>
              <w:t xml:space="preserve"> </w:t>
            </w:r>
            <w:r w:rsidRPr="00A31EA6">
              <w:rPr>
                <w:lang w:eastAsia="en-US"/>
              </w:rPr>
              <w:t>encouraging</w:t>
            </w:r>
            <w:r w:rsidR="00F8423C" w:rsidRPr="00A31EA6">
              <w:rPr>
                <w:lang w:eastAsia="en-US"/>
              </w:rPr>
              <w:t xml:space="preserve"> engagement and increas</w:t>
            </w:r>
            <w:r w:rsidRPr="00A31EA6">
              <w:rPr>
                <w:lang w:eastAsia="en-US"/>
              </w:rPr>
              <w:t>ing</w:t>
            </w:r>
            <w:r w:rsidR="00F8423C" w:rsidRPr="00A31EA6">
              <w:rPr>
                <w:lang w:eastAsia="en-US"/>
              </w:rPr>
              <w:t xml:space="preserve"> job opportunities for candidates</w:t>
            </w:r>
          </w:p>
          <w:p w14:paraId="6D8270D3" w14:textId="77777777" w:rsidR="00B80D24" w:rsidRPr="00A31EA6" w:rsidRDefault="00F8423C" w:rsidP="00A31EA6">
            <w:pPr>
              <w:pStyle w:val="ListParagraph"/>
              <w:framePr w:wrap="around"/>
              <w:numPr>
                <w:ilvl w:val="0"/>
                <w:numId w:val="31"/>
              </w:numPr>
              <w:rPr>
                <w:b/>
                <w:sz w:val="22"/>
                <w:lang w:eastAsia="en-US"/>
              </w:rPr>
            </w:pPr>
            <w:r w:rsidRPr="00A31EA6">
              <w:rPr>
                <w:lang w:eastAsia="en-US"/>
              </w:rPr>
              <w:t>Support companies with their talent needs by advising on recruitment timelines/methods and ensuring that job postings and On Campus activities are managed effectively</w:t>
            </w:r>
          </w:p>
          <w:p w14:paraId="0732F3FF" w14:textId="25DD6546" w:rsidR="00F32FCC" w:rsidRPr="00A31EA6" w:rsidRDefault="00F32FCC" w:rsidP="00A31EA6">
            <w:pPr>
              <w:pStyle w:val="ListParagraph"/>
              <w:framePr w:wrap="around"/>
              <w:numPr>
                <w:ilvl w:val="0"/>
                <w:numId w:val="31"/>
              </w:numPr>
              <w:rPr>
                <w:b/>
                <w:sz w:val="22"/>
                <w:lang w:eastAsia="en-US"/>
              </w:rPr>
            </w:pPr>
            <w:r w:rsidRPr="00A31EA6">
              <w:rPr>
                <w:lang w:eastAsia="en-US"/>
              </w:rPr>
              <w:t xml:space="preserve">Share insights on sectors under management, to drive student learning and interest in </w:t>
            </w:r>
            <w:r w:rsidR="00A31EA6" w:rsidRPr="00A31EA6">
              <w:rPr>
                <w:lang w:eastAsia="en-US"/>
              </w:rPr>
              <w:t>Consulting</w:t>
            </w:r>
            <w:r w:rsidR="00A31EA6" w:rsidRPr="00A31EA6">
              <w:rPr>
                <w:lang w:eastAsia="en-US"/>
              </w:rPr>
              <w:t xml:space="preserve"> </w:t>
            </w:r>
            <w:r w:rsidRPr="00A31EA6">
              <w:rPr>
                <w:lang w:eastAsia="en-US"/>
              </w:rPr>
              <w:t>career pathways</w:t>
            </w:r>
          </w:p>
        </w:tc>
      </w:tr>
    </w:tbl>
    <w:p w14:paraId="1A5292A0" w14:textId="77777777" w:rsidR="00B80D24" w:rsidRPr="00A31EA6" w:rsidRDefault="00B80D24" w:rsidP="00B80D24">
      <w:pPr>
        <w:rPr>
          <w:rFonts w:asciiTheme="minorHAnsi" w:hAnsiTheme="minorHAnsi" w:cstheme="minorHAnsi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113"/>
        <w:gridCol w:w="8754"/>
        <w:gridCol w:w="113"/>
      </w:tblGrid>
      <w:tr w:rsidR="00B80D24" w:rsidRPr="00A31EA6" w14:paraId="7C246E2D" w14:textId="77777777" w:rsidTr="00EE38B1">
        <w:trPr>
          <w:gridBefore w:val="1"/>
          <w:wBefore w:w="113" w:type="dxa"/>
          <w:trHeight w:val="287"/>
        </w:trPr>
        <w:tc>
          <w:tcPr>
            <w:tcW w:w="8867" w:type="dxa"/>
            <w:gridSpan w:val="2"/>
            <w:shd w:val="clear" w:color="auto" w:fill="001E62"/>
          </w:tcPr>
          <w:p w14:paraId="6CCFD4D2" w14:textId="77777777" w:rsidR="00B80D24" w:rsidRPr="00A31EA6" w:rsidRDefault="00B80D24" w:rsidP="009F0B63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  <w:tr w:rsidR="00EE38B1" w:rsidRPr="00A31EA6" w14:paraId="52A5310D" w14:textId="77777777" w:rsidTr="00EE38B1">
        <w:trPr>
          <w:gridAfter w:val="1"/>
          <w:wAfter w:w="113" w:type="dxa"/>
          <w:trHeight w:val="748"/>
        </w:trPr>
        <w:tc>
          <w:tcPr>
            <w:tcW w:w="8867" w:type="dxa"/>
            <w:gridSpan w:val="2"/>
          </w:tcPr>
          <w:p w14:paraId="1CA3B826" w14:textId="77777777" w:rsidR="00EE38B1" w:rsidRPr="00A31EA6" w:rsidRDefault="00EE38B1" w:rsidP="00EE38B1">
            <w:pPr>
              <w:rPr>
                <w:rFonts w:asciiTheme="minorHAnsi" w:hAnsiTheme="minorHAnsi" w:cstheme="minorHAnsi"/>
                <w:b/>
                <w:sz w:val="22"/>
                <w:szCs w:val="20"/>
                <w:u w:val="single"/>
                <w:lang w:eastAsia="en-US"/>
              </w:rPr>
            </w:pPr>
            <w:r w:rsidRPr="00A31EA6">
              <w:rPr>
                <w:rFonts w:asciiTheme="minorHAnsi" w:hAnsiTheme="minorHAnsi" w:cstheme="minorHAnsi"/>
                <w:b/>
                <w:sz w:val="22"/>
                <w:szCs w:val="20"/>
                <w:u w:val="single"/>
                <w:lang w:eastAsia="en-US"/>
              </w:rPr>
              <w:t>Key areas of accountability:</w:t>
            </w:r>
          </w:p>
          <w:p w14:paraId="4FDC50C3" w14:textId="0686562F" w:rsidR="00F8423C" w:rsidRPr="00A31EA6" w:rsidRDefault="00F32FCC" w:rsidP="00F8423C">
            <w:pPr>
              <w:autoSpaceDE w:val="0"/>
              <w:autoSpaceDN w:val="0"/>
              <w:adjustRightInd w:val="0"/>
              <w:spacing w:after="100" w:line="241" w:lineRule="atLeast"/>
              <w:ind w:left="720" w:hanging="360"/>
              <w:rPr>
                <w:rFonts w:asciiTheme="minorHAnsi" w:hAnsiTheme="minorHAnsi" w:cstheme="minorHAnsi"/>
                <w:b/>
                <w:szCs w:val="20"/>
              </w:rPr>
            </w:pPr>
            <w:r w:rsidRPr="00A31EA6">
              <w:rPr>
                <w:rFonts w:asciiTheme="minorHAnsi" w:hAnsiTheme="minorHAnsi" w:cstheme="minorHAnsi"/>
                <w:b/>
                <w:szCs w:val="20"/>
              </w:rPr>
              <w:t>Business development/</w:t>
            </w:r>
            <w:r w:rsidR="00F8423C" w:rsidRPr="00A31EA6">
              <w:rPr>
                <w:rFonts w:asciiTheme="minorHAnsi" w:hAnsiTheme="minorHAnsi" w:cstheme="minorHAnsi"/>
                <w:b/>
                <w:szCs w:val="20"/>
              </w:rPr>
              <w:t>Relationship Management</w:t>
            </w:r>
          </w:p>
          <w:p w14:paraId="24CB2218" w14:textId="40E19B7E" w:rsidR="00F32FCC" w:rsidRPr="00A31EA6" w:rsidRDefault="00F32FCC" w:rsidP="00A31EA6">
            <w:pPr>
              <w:pStyle w:val="ListParagraph"/>
              <w:framePr w:hSpace="0" w:wrap="auto" w:vAnchor="margin" w:hAnchor="text" w:yAlign="inline"/>
            </w:pPr>
            <w:r w:rsidRPr="00A31EA6">
              <w:t xml:space="preserve">Lead on business development for the </w:t>
            </w:r>
            <w:r w:rsidR="00A31EA6" w:rsidRPr="00A31EA6">
              <w:t>Consulting sector</w:t>
            </w:r>
            <w:r w:rsidRPr="00A31EA6">
              <w:t xml:space="preserve"> and develop a portfolio of active accounts that yield opportunities for students</w:t>
            </w:r>
            <w:r w:rsidR="00A31EA6" w:rsidRPr="00A31EA6">
              <w:t xml:space="preserve"> across all </w:t>
            </w:r>
            <w:proofErr w:type="spellStart"/>
            <w:r w:rsidR="00A31EA6" w:rsidRPr="00A31EA6">
              <w:t>programmes</w:t>
            </w:r>
            <w:proofErr w:type="spellEnd"/>
          </w:p>
          <w:p w14:paraId="6875BF26" w14:textId="16033C96" w:rsidR="006266ED" w:rsidRPr="00A31EA6" w:rsidRDefault="006266ED" w:rsidP="00A31EA6">
            <w:pPr>
              <w:pStyle w:val="ListParagraph"/>
              <w:framePr w:hSpace="0" w:wrap="auto" w:vAnchor="margin" w:hAnchor="text" w:yAlign="inline"/>
            </w:pPr>
            <w:r w:rsidRPr="00A31EA6">
              <w:t xml:space="preserve">Represent Career Centre and the School externally to </w:t>
            </w:r>
            <w:r w:rsidR="00A31EA6" w:rsidRPr="00A31EA6">
              <w:t>employers, attend</w:t>
            </w:r>
            <w:r w:rsidRPr="00A31EA6">
              <w:t xml:space="preserve"> relevant industry events and build a network of professional contacts to become embedded in the sectors under management</w:t>
            </w:r>
          </w:p>
          <w:p w14:paraId="433A5DFA" w14:textId="06D380F0" w:rsidR="00F8423C" w:rsidRPr="00A31EA6" w:rsidRDefault="00F8423C" w:rsidP="00A31EA6">
            <w:pPr>
              <w:pStyle w:val="ListParagraph"/>
              <w:framePr w:hSpace="0" w:wrap="auto" w:vAnchor="margin" w:hAnchor="text" w:yAlign="inline"/>
            </w:pPr>
            <w:r w:rsidRPr="00A31EA6">
              <w:t xml:space="preserve">Partner with the Events team to plan and manage on-campus recruitment activity with companies covered </w:t>
            </w:r>
            <w:r w:rsidR="009F48A2" w:rsidRPr="00A31EA6">
              <w:t>including</w:t>
            </w:r>
            <w:r w:rsidRPr="00A31EA6">
              <w:t xml:space="preserve"> the delivery of networking events</w:t>
            </w:r>
            <w:r w:rsidR="009F48A2" w:rsidRPr="00A31EA6">
              <w:t xml:space="preserve"> (i.e., </w:t>
            </w:r>
            <w:r w:rsidR="00D83DEB" w:rsidRPr="00A31EA6">
              <w:t>c</w:t>
            </w:r>
            <w:r w:rsidR="009F48A2" w:rsidRPr="00A31EA6">
              <w:t xml:space="preserve">areer </w:t>
            </w:r>
            <w:r w:rsidR="00D83DEB" w:rsidRPr="00A31EA6">
              <w:t>f</w:t>
            </w:r>
            <w:r w:rsidR="009F48A2" w:rsidRPr="00A31EA6">
              <w:t>airs)</w:t>
            </w:r>
            <w:r w:rsidRPr="00A31EA6">
              <w:t xml:space="preserve"> for the </w:t>
            </w:r>
            <w:r w:rsidR="009F48A2" w:rsidRPr="00A31EA6">
              <w:t xml:space="preserve">Technology </w:t>
            </w:r>
            <w:r w:rsidRPr="00A31EA6">
              <w:t xml:space="preserve">sectors </w:t>
            </w:r>
            <w:r w:rsidR="009F48A2" w:rsidRPr="00A31EA6">
              <w:t>and support the running of cross sector fairs.</w:t>
            </w:r>
          </w:p>
          <w:p w14:paraId="313422BA" w14:textId="232D7D6B" w:rsidR="00F8423C" w:rsidRPr="00A31EA6" w:rsidRDefault="00F8423C" w:rsidP="00A31EA6">
            <w:pPr>
              <w:pStyle w:val="ListParagraph"/>
              <w:framePr w:hSpace="0" w:wrap="auto" w:vAnchor="margin" w:hAnchor="text" w:yAlign="inline"/>
            </w:pPr>
            <w:r w:rsidRPr="00A31EA6">
              <w:t>Respond quickly and effectively to client queries, ensuring job postings are accurately posted</w:t>
            </w:r>
          </w:p>
          <w:p w14:paraId="000D8457" w14:textId="77777777" w:rsidR="00F8423C" w:rsidRPr="00A31EA6" w:rsidRDefault="00F8423C" w:rsidP="00A31EA6">
            <w:pPr>
              <w:ind w:left="360"/>
              <w:rPr>
                <w:rFonts w:asciiTheme="minorHAnsi" w:hAnsiTheme="minorHAnsi" w:cstheme="minorHAnsi"/>
              </w:rPr>
            </w:pPr>
          </w:p>
          <w:p w14:paraId="219AAC70" w14:textId="30714004" w:rsidR="00F8423C" w:rsidRPr="00A31EA6" w:rsidRDefault="00F32FCC" w:rsidP="00A31EA6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A31EA6">
              <w:rPr>
                <w:rFonts w:asciiTheme="minorHAnsi" w:hAnsiTheme="minorHAnsi" w:cstheme="minorHAnsi"/>
                <w:b/>
                <w:bCs/>
              </w:rPr>
              <w:t xml:space="preserve">Market </w:t>
            </w:r>
            <w:r w:rsidR="00F8423C" w:rsidRPr="00A31EA6">
              <w:rPr>
                <w:rFonts w:asciiTheme="minorHAnsi" w:hAnsiTheme="minorHAnsi" w:cstheme="minorHAnsi"/>
                <w:b/>
                <w:bCs/>
              </w:rPr>
              <w:t xml:space="preserve">Research, Analysis and Reporting </w:t>
            </w:r>
          </w:p>
          <w:p w14:paraId="45D60C52" w14:textId="72C03C18" w:rsidR="00F8423C" w:rsidRPr="00A31EA6" w:rsidRDefault="00F8423C" w:rsidP="00A31EA6">
            <w:pPr>
              <w:pStyle w:val="ListParagraph"/>
              <w:framePr w:hSpace="0" w:wrap="auto" w:vAnchor="margin" w:hAnchor="text" w:yAlign="inline"/>
            </w:pPr>
            <w:r w:rsidRPr="00A31EA6">
              <w:t xml:space="preserve">Research </w:t>
            </w:r>
            <w:r w:rsidR="00F32FCC" w:rsidRPr="00A31EA6">
              <w:t>the employment market</w:t>
            </w:r>
            <w:r w:rsidRPr="00A31EA6">
              <w:t xml:space="preserve"> to identify potential target companies for </w:t>
            </w:r>
            <w:r w:rsidR="00F32FCC" w:rsidRPr="00A31EA6">
              <w:t>business development activity</w:t>
            </w:r>
          </w:p>
          <w:p w14:paraId="3FA37FC7" w14:textId="4ED0660F" w:rsidR="00F8423C" w:rsidRPr="00A31EA6" w:rsidRDefault="00F8423C" w:rsidP="00A31EA6">
            <w:pPr>
              <w:pStyle w:val="ListParagraph"/>
              <w:framePr w:hSpace="0" w:wrap="auto" w:vAnchor="margin" w:hAnchor="text" w:yAlign="inline"/>
            </w:pPr>
            <w:r w:rsidRPr="00A31EA6">
              <w:t>Manage and update recruitment st</w:t>
            </w:r>
            <w:r w:rsidR="00F94070" w:rsidRPr="00A31EA6">
              <w:t>atistics</w:t>
            </w:r>
            <w:r w:rsidRPr="00A31EA6">
              <w:t>, helping identify trends and changes that have wider implications</w:t>
            </w:r>
            <w:r w:rsidR="00F32FCC" w:rsidRPr="00A31EA6">
              <w:t xml:space="preserve"> for the strategy of Employer Engagement and Career Centre as a whole</w:t>
            </w:r>
          </w:p>
          <w:p w14:paraId="7E69D4E6" w14:textId="77777777" w:rsidR="00F8423C" w:rsidRPr="00A31EA6" w:rsidRDefault="00F8423C" w:rsidP="00A31EA6">
            <w:pPr>
              <w:pStyle w:val="ListParagraph"/>
              <w:framePr w:hSpace="0" w:wrap="auto" w:vAnchor="margin" w:hAnchor="text" w:yAlign="inline"/>
            </w:pPr>
            <w:r w:rsidRPr="00A31EA6">
              <w:t xml:space="preserve">Ensure that the Career Centre CRM system is leveraged to make decisions regarding current and planned initiatives </w:t>
            </w:r>
          </w:p>
          <w:p w14:paraId="3D197311" w14:textId="77777777" w:rsidR="00F8423C" w:rsidRPr="00A31EA6" w:rsidRDefault="00F8423C" w:rsidP="00A31EA6">
            <w:pPr>
              <w:ind w:left="360"/>
              <w:rPr>
                <w:rFonts w:asciiTheme="minorHAnsi" w:hAnsiTheme="minorHAnsi" w:cstheme="minorHAnsi"/>
              </w:rPr>
            </w:pPr>
          </w:p>
          <w:p w14:paraId="1460223A" w14:textId="77777777" w:rsidR="00F8423C" w:rsidRPr="00A31EA6" w:rsidRDefault="00F8423C" w:rsidP="00A31EA6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31EA6">
              <w:rPr>
                <w:rFonts w:asciiTheme="minorHAnsi" w:hAnsiTheme="minorHAnsi" w:cstheme="minorHAnsi"/>
                <w:b/>
                <w:bCs/>
              </w:rPr>
              <w:t>Labour</w:t>
            </w:r>
            <w:proofErr w:type="spellEnd"/>
            <w:r w:rsidRPr="00A31EA6">
              <w:rPr>
                <w:rFonts w:asciiTheme="minorHAnsi" w:hAnsiTheme="minorHAnsi" w:cstheme="minorHAnsi"/>
                <w:b/>
                <w:bCs/>
              </w:rPr>
              <w:t xml:space="preserve"> Market Insights</w:t>
            </w:r>
          </w:p>
          <w:p w14:paraId="470DD6BF" w14:textId="0B5FF947" w:rsidR="00F8423C" w:rsidRPr="00A31EA6" w:rsidRDefault="00F8423C" w:rsidP="00A31EA6">
            <w:pPr>
              <w:pStyle w:val="ListParagraph"/>
              <w:framePr w:hSpace="0" w:wrap="auto" w:vAnchor="margin" w:hAnchor="text" w:yAlign="inline"/>
            </w:pPr>
            <w:r w:rsidRPr="00A31EA6">
              <w:t>Identify and monitor sources of market intelligence, including employment reports for competitor schools, specific trade bodies etc.</w:t>
            </w:r>
          </w:p>
          <w:p w14:paraId="7BEAD974" w14:textId="38E7132D" w:rsidR="00F32FCC" w:rsidRPr="00A31EA6" w:rsidRDefault="00F32FCC" w:rsidP="00A31EA6">
            <w:pPr>
              <w:pStyle w:val="ListParagraph"/>
              <w:framePr w:hSpace="0" w:wrap="auto" w:vAnchor="margin" w:hAnchor="text" w:yAlign="inline"/>
            </w:pPr>
            <w:r w:rsidRPr="00A31EA6">
              <w:rPr>
                <w:lang w:eastAsia="en-US"/>
              </w:rPr>
              <w:t xml:space="preserve">Share expertise and insights on the </w:t>
            </w:r>
            <w:r w:rsidR="00A31EA6" w:rsidRPr="00A31EA6">
              <w:rPr>
                <w:lang w:eastAsia="en-US"/>
              </w:rPr>
              <w:t>Consulting</w:t>
            </w:r>
            <w:r w:rsidR="00A31EA6" w:rsidRPr="00A31EA6">
              <w:rPr>
                <w:lang w:eastAsia="en-US"/>
              </w:rPr>
              <w:t xml:space="preserve"> </w:t>
            </w:r>
            <w:r w:rsidRPr="00A31EA6">
              <w:rPr>
                <w:lang w:eastAsia="en-US"/>
              </w:rPr>
              <w:t xml:space="preserve">sector through presentations, workshops and resource creation, to drive student learning and interest in </w:t>
            </w:r>
            <w:r w:rsidR="00A31EA6" w:rsidRPr="00A31EA6">
              <w:rPr>
                <w:lang w:eastAsia="en-US"/>
              </w:rPr>
              <w:t>Consulting</w:t>
            </w:r>
            <w:r w:rsidR="00A31EA6" w:rsidRPr="00A31EA6">
              <w:rPr>
                <w:lang w:eastAsia="en-US"/>
              </w:rPr>
              <w:t xml:space="preserve"> </w:t>
            </w:r>
            <w:r w:rsidRPr="00A31EA6">
              <w:rPr>
                <w:lang w:eastAsia="en-US"/>
              </w:rPr>
              <w:t>career pathways</w:t>
            </w:r>
          </w:p>
          <w:p w14:paraId="09D5E173" w14:textId="1B1C1778" w:rsidR="009F48A2" w:rsidRPr="00A31EA6" w:rsidRDefault="009F48A2" w:rsidP="00A31EA6">
            <w:pPr>
              <w:pStyle w:val="ListParagraph"/>
              <w:framePr w:hSpace="0" w:wrap="auto" w:vAnchor="margin" w:hAnchor="text" w:yAlign="inline"/>
            </w:pPr>
            <w:r w:rsidRPr="00A31EA6">
              <w:rPr>
                <w:lang w:eastAsia="en-US"/>
              </w:rPr>
              <w:t>Develop and maintain up to date content on relevant sectors for student career portal</w:t>
            </w:r>
          </w:p>
          <w:p w14:paraId="78F448C1" w14:textId="77777777" w:rsidR="00F8423C" w:rsidRPr="00A31EA6" w:rsidRDefault="00F8423C" w:rsidP="00A31EA6">
            <w:pPr>
              <w:ind w:left="360"/>
              <w:rPr>
                <w:rFonts w:asciiTheme="minorHAnsi" w:hAnsiTheme="minorHAnsi" w:cstheme="minorHAnsi"/>
              </w:rPr>
            </w:pPr>
          </w:p>
          <w:p w14:paraId="4E981F7B" w14:textId="77777777" w:rsidR="00F8423C" w:rsidRPr="00A31EA6" w:rsidRDefault="00F8423C" w:rsidP="00A31EA6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A31EA6">
              <w:rPr>
                <w:rFonts w:asciiTheme="minorHAnsi" w:hAnsiTheme="minorHAnsi" w:cstheme="minorHAnsi"/>
                <w:b/>
                <w:bCs/>
              </w:rPr>
              <w:t xml:space="preserve">Collaboration and Stakeholder Management </w:t>
            </w:r>
          </w:p>
          <w:p w14:paraId="3CFC85D4" w14:textId="77777777" w:rsidR="00F8423C" w:rsidRPr="00A31EA6" w:rsidRDefault="00F8423C" w:rsidP="00A31EA6">
            <w:pPr>
              <w:pStyle w:val="ListParagraph"/>
              <w:framePr w:hSpace="0" w:wrap="auto" w:vAnchor="margin" w:hAnchor="text" w:yAlign="inline"/>
            </w:pPr>
            <w:r w:rsidRPr="00A31EA6">
              <w:t>Maintain relationship with relevant Peer Leaders (student coaches with experience in the sectors)</w:t>
            </w:r>
          </w:p>
          <w:p w14:paraId="3EA6EF2E" w14:textId="379920A0" w:rsidR="00F8423C" w:rsidRPr="00A31EA6" w:rsidRDefault="00F32FCC" w:rsidP="00A31EA6">
            <w:pPr>
              <w:pStyle w:val="ListParagraph"/>
              <w:framePr w:hSpace="0" w:wrap="auto" w:vAnchor="margin" w:hAnchor="text" w:yAlign="inline"/>
            </w:pPr>
            <w:r w:rsidRPr="00A31EA6">
              <w:t>Act as an advisor to</w:t>
            </w:r>
            <w:r w:rsidR="00F8423C" w:rsidRPr="00A31EA6">
              <w:t xml:space="preserve"> student clubs to</w:t>
            </w:r>
            <w:r w:rsidRPr="00A31EA6">
              <w:t xml:space="preserve"> guide activity and</w:t>
            </w:r>
            <w:r w:rsidR="00F8423C" w:rsidRPr="00A31EA6">
              <w:t xml:space="preserve"> ensure a continuity of coverage with key accounts</w:t>
            </w:r>
          </w:p>
          <w:p w14:paraId="25329765" w14:textId="34F10A5D" w:rsidR="00F8423C" w:rsidRPr="00A31EA6" w:rsidRDefault="00F32FCC" w:rsidP="00A31EA6">
            <w:pPr>
              <w:pStyle w:val="ListParagraph"/>
              <w:framePr w:hSpace="0" w:wrap="auto" w:vAnchor="margin" w:hAnchor="text" w:yAlign="inline"/>
            </w:pPr>
            <w:r w:rsidRPr="00A31EA6">
              <w:t xml:space="preserve">Provide expertise and </w:t>
            </w:r>
            <w:r w:rsidR="00F8423C" w:rsidRPr="00A31EA6">
              <w:t>logistical support for relevant student</w:t>
            </w:r>
            <w:r w:rsidRPr="00A31EA6">
              <w:t>-</w:t>
            </w:r>
            <w:r w:rsidR="00F8423C" w:rsidRPr="00A31EA6">
              <w:t xml:space="preserve">led treks and recruitment fairs </w:t>
            </w:r>
            <w:r w:rsidRPr="00A31EA6">
              <w:t xml:space="preserve">locally and </w:t>
            </w:r>
            <w:r w:rsidR="00F8423C" w:rsidRPr="00A31EA6">
              <w:t>globally</w:t>
            </w:r>
          </w:p>
          <w:p w14:paraId="20E6D5CF" w14:textId="77777777" w:rsidR="00EE38B1" w:rsidRPr="00A31EA6" w:rsidRDefault="00EE38B1" w:rsidP="00A31EA6">
            <w:pPr>
              <w:rPr>
                <w:rFonts w:asciiTheme="minorHAnsi" w:hAnsiTheme="minorHAnsi" w:cstheme="minorHAnsi"/>
              </w:rPr>
            </w:pPr>
          </w:p>
        </w:tc>
      </w:tr>
    </w:tbl>
    <w:p w14:paraId="6134931A" w14:textId="77777777" w:rsidR="00F94070" w:rsidRPr="00A31EA6" w:rsidRDefault="00F94070" w:rsidP="00EE38B1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254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94070" w:rsidRPr="00A31EA6" w14:paraId="3FFBC629" w14:textId="77777777" w:rsidTr="00C803E9">
        <w:trPr>
          <w:trHeight w:val="416"/>
        </w:trPr>
        <w:tc>
          <w:tcPr>
            <w:tcW w:w="8897" w:type="dxa"/>
            <w:shd w:val="clear" w:color="auto" w:fill="001E62"/>
          </w:tcPr>
          <w:p w14:paraId="38FC3EA3" w14:textId="77777777" w:rsidR="00F94070" w:rsidRPr="00A31EA6" w:rsidRDefault="00F94070" w:rsidP="00C803E9">
            <w:pPr>
              <w:rPr>
                <w:rFonts w:asciiTheme="minorHAnsi" w:hAnsiTheme="minorHAnsi" w:cstheme="minorHAnsi"/>
                <w:b/>
                <w:sz w:val="22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  <w:t xml:space="preserve">Knowledge/Qualifications/Skills/Experience required </w:t>
            </w:r>
          </w:p>
        </w:tc>
      </w:tr>
      <w:tr w:rsidR="00F94070" w:rsidRPr="00A31EA6" w14:paraId="5AE8D4C6" w14:textId="77777777" w:rsidTr="00C803E9">
        <w:trPr>
          <w:trHeight w:val="1086"/>
        </w:trPr>
        <w:tc>
          <w:tcPr>
            <w:tcW w:w="8897" w:type="dxa"/>
          </w:tcPr>
          <w:p w14:paraId="38EDEFA8" w14:textId="3D8E544D" w:rsidR="00F94070" w:rsidRPr="00A31EA6" w:rsidRDefault="00F32FCC" w:rsidP="00A31EA6">
            <w:pPr>
              <w:pStyle w:val="ListParagraph"/>
              <w:framePr w:hSpace="0" w:wrap="auto" w:vAnchor="margin" w:hAnchor="text" w:yAlign="inline"/>
            </w:pPr>
            <w:r w:rsidRPr="00A31EA6">
              <w:t>Experience in</w:t>
            </w:r>
            <w:r w:rsidR="00F94070" w:rsidRPr="00A31EA6">
              <w:t xml:space="preserve"> </w:t>
            </w:r>
            <w:r w:rsidRPr="00A31EA6">
              <w:t xml:space="preserve">business development and a passion for </w:t>
            </w:r>
            <w:r w:rsidR="00F94070" w:rsidRPr="00A31EA6">
              <w:t>customer relationship management – you love to get out there and meet people and learn</w:t>
            </w:r>
          </w:p>
          <w:p w14:paraId="1B0FD4ED" w14:textId="4E4559F4" w:rsidR="00F94070" w:rsidRPr="00A31EA6" w:rsidRDefault="00083193" w:rsidP="00A31EA6">
            <w:pPr>
              <w:pStyle w:val="ListParagraph"/>
              <w:framePr w:hSpace="0" w:wrap="auto" w:vAnchor="margin" w:hAnchor="text" w:yAlign="inline"/>
            </w:pPr>
            <w:r w:rsidRPr="00A31EA6">
              <w:t xml:space="preserve">An ability to </w:t>
            </w:r>
            <w:r w:rsidR="00A31EA6" w:rsidRPr="00A31EA6">
              <w:t>quickly get up to speed on the consulting sector and share knowledge with key stakeholders as and when required</w:t>
            </w:r>
          </w:p>
          <w:p w14:paraId="49685A38" w14:textId="503030C1" w:rsidR="00F94070" w:rsidRPr="00A31EA6" w:rsidRDefault="00F94070" w:rsidP="00A31EA6">
            <w:pPr>
              <w:pStyle w:val="ListParagraph"/>
              <w:framePr w:hSpace="0" w:wrap="auto" w:vAnchor="margin" w:hAnchor="text" w:yAlign="inline"/>
            </w:pPr>
            <w:r w:rsidRPr="00A31EA6">
              <w:t xml:space="preserve">Interest in working in a “value” generating business as opposed to revenue generating business – </w:t>
            </w:r>
            <w:r w:rsidR="00083193" w:rsidRPr="00A31EA6">
              <w:t>believe in the impact of</w:t>
            </w:r>
            <w:r w:rsidRPr="00A31EA6">
              <w:t xml:space="preserve"> higher education and adding value to the student experience</w:t>
            </w:r>
          </w:p>
          <w:p w14:paraId="4359F32E" w14:textId="77777777" w:rsidR="00F94070" w:rsidRPr="00A31EA6" w:rsidRDefault="00F94070" w:rsidP="00A31EA6">
            <w:pPr>
              <w:pStyle w:val="ListParagraph"/>
              <w:framePr w:hSpace="0" w:wrap="auto" w:vAnchor="margin" w:hAnchor="text" w:yAlign="inline"/>
            </w:pPr>
            <w:r w:rsidRPr="00A31EA6">
              <w:t>Self-starter, able to work independently to develop and deliver against business plan</w:t>
            </w:r>
          </w:p>
          <w:p w14:paraId="6CD30792" w14:textId="77777777" w:rsidR="00F94070" w:rsidRPr="00A31EA6" w:rsidRDefault="00F94070" w:rsidP="00A31EA6">
            <w:pPr>
              <w:pStyle w:val="ListParagraph"/>
              <w:framePr w:hSpace="0" w:wrap="auto" w:vAnchor="margin" w:hAnchor="text" w:yAlign="inline"/>
            </w:pPr>
            <w:r w:rsidRPr="00A31EA6">
              <w:t xml:space="preserve">Proficient in handling and </w:t>
            </w:r>
            <w:proofErr w:type="spellStart"/>
            <w:r w:rsidRPr="00A31EA6">
              <w:t>analysing</w:t>
            </w:r>
            <w:proofErr w:type="spellEnd"/>
            <w:r w:rsidRPr="00A31EA6">
              <w:t xml:space="preserve"> data</w:t>
            </w:r>
          </w:p>
          <w:p w14:paraId="76D66066" w14:textId="39246942" w:rsidR="00F94070" w:rsidRDefault="00F94070" w:rsidP="00A31EA6">
            <w:pPr>
              <w:pStyle w:val="ListParagraph"/>
              <w:framePr w:hSpace="0" w:wrap="auto" w:vAnchor="margin" w:hAnchor="text" w:yAlign="inline"/>
            </w:pPr>
            <w:r w:rsidRPr="00A31EA6">
              <w:t>Excellent interpersonal, teamwork and communication skills</w:t>
            </w:r>
            <w:r w:rsidR="006266ED" w:rsidRPr="00A31EA6">
              <w:t xml:space="preserve"> – will need to be an ambassador for the </w:t>
            </w:r>
            <w:proofErr w:type="gramStart"/>
            <w:r w:rsidR="006266ED" w:rsidRPr="00A31EA6">
              <w:t>School</w:t>
            </w:r>
            <w:proofErr w:type="gramEnd"/>
            <w:r w:rsidR="006266ED" w:rsidRPr="00A31EA6">
              <w:t xml:space="preserve"> internally and externally</w:t>
            </w:r>
          </w:p>
          <w:p w14:paraId="5D3B2ADF" w14:textId="4CC385ED" w:rsidR="00A31EA6" w:rsidRPr="00A31EA6" w:rsidRDefault="00A31EA6" w:rsidP="00A31EA6">
            <w:pPr>
              <w:pStyle w:val="ListParagraph"/>
              <w:framePr w:hSpace="0" w:wrap="auto" w:vAnchor="margin" w:hAnchor="text" w:yAlign="inline"/>
            </w:pPr>
            <w:r w:rsidRPr="00A31EA6">
              <w:t>Comfort with ambiguity</w:t>
            </w:r>
          </w:p>
          <w:p w14:paraId="193D2CB5" w14:textId="53FB3CA1" w:rsidR="00F94070" w:rsidRPr="00A31EA6" w:rsidRDefault="00F94070" w:rsidP="00A31EA6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</w:pPr>
          </w:p>
        </w:tc>
      </w:tr>
    </w:tbl>
    <w:p w14:paraId="31379289" w14:textId="77777777" w:rsidR="00F94070" w:rsidRPr="00A31EA6" w:rsidRDefault="00F94070" w:rsidP="00EE38B1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page" w:tblpX="1561" w:tblpY="6172"/>
        <w:tblW w:w="0" w:type="auto"/>
        <w:tblLook w:val="04A0" w:firstRow="1" w:lastRow="0" w:firstColumn="1" w:lastColumn="0" w:noHBand="0" w:noVBand="1"/>
      </w:tblPr>
      <w:tblGrid>
        <w:gridCol w:w="2263"/>
        <w:gridCol w:w="3969"/>
      </w:tblGrid>
      <w:tr w:rsidR="00EE38B1" w:rsidRPr="00A31EA6" w14:paraId="7B247C2B" w14:textId="77777777" w:rsidTr="00A31EA6">
        <w:trPr>
          <w:trHeight w:val="482"/>
        </w:trPr>
        <w:tc>
          <w:tcPr>
            <w:tcW w:w="2263" w:type="dxa"/>
            <w:shd w:val="clear" w:color="auto" w:fill="001E62"/>
          </w:tcPr>
          <w:p w14:paraId="3BFD6D1C" w14:textId="77777777" w:rsidR="00EE38B1" w:rsidRPr="00A31EA6" w:rsidRDefault="00EE38B1" w:rsidP="00A31EA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  <w:t>Staff</w:t>
            </w:r>
          </w:p>
        </w:tc>
        <w:tc>
          <w:tcPr>
            <w:tcW w:w="3969" w:type="dxa"/>
          </w:tcPr>
          <w:p w14:paraId="044F8EC3" w14:textId="77777777" w:rsidR="00EE38B1" w:rsidRPr="00A31EA6" w:rsidRDefault="00EE38B1" w:rsidP="00A31EA6">
            <w:pPr>
              <w:rPr>
                <w:rFonts w:asciiTheme="minorHAnsi" w:hAnsiTheme="minorHAnsi" w:cstheme="minorHAnsi"/>
                <w:b/>
                <w:sz w:val="22"/>
                <w:szCs w:val="20"/>
                <w:lang w:eastAsia="en-US"/>
              </w:rPr>
            </w:pPr>
          </w:p>
        </w:tc>
      </w:tr>
      <w:tr w:rsidR="00EE38B1" w:rsidRPr="00A31EA6" w14:paraId="6A045E8E" w14:textId="77777777" w:rsidTr="00A31EA6">
        <w:trPr>
          <w:trHeight w:val="482"/>
        </w:trPr>
        <w:tc>
          <w:tcPr>
            <w:tcW w:w="2263" w:type="dxa"/>
            <w:shd w:val="clear" w:color="auto" w:fill="001E62"/>
          </w:tcPr>
          <w:p w14:paraId="41BC79B4" w14:textId="77777777" w:rsidR="00EE38B1" w:rsidRPr="00A31EA6" w:rsidRDefault="00EE38B1" w:rsidP="00A31EA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3969" w:type="dxa"/>
          </w:tcPr>
          <w:p w14:paraId="7695C06F" w14:textId="77777777" w:rsidR="00EE38B1" w:rsidRPr="00A31EA6" w:rsidRDefault="00EE38B1" w:rsidP="00A31EA6">
            <w:pPr>
              <w:rPr>
                <w:rFonts w:asciiTheme="minorHAnsi" w:hAnsiTheme="minorHAnsi" w:cstheme="minorHAnsi"/>
                <w:b/>
                <w:sz w:val="22"/>
                <w:szCs w:val="20"/>
                <w:lang w:eastAsia="en-US"/>
              </w:rPr>
            </w:pPr>
          </w:p>
        </w:tc>
      </w:tr>
      <w:tr w:rsidR="00EE38B1" w:rsidRPr="00A31EA6" w14:paraId="0C41D946" w14:textId="77777777" w:rsidTr="00A31EA6">
        <w:trPr>
          <w:trHeight w:val="482"/>
        </w:trPr>
        <w:tc>
          <w:tcPr>
            <w:tcW w:w="2263" w:type="dxa"/>
            <w:shd w:val="clear" w:color="auto" w:fill="001E62"/>
          </w:tcPr>
          <w:p w14:paraId="44AC4DB8" w14:textId="77777777" w:rsidR="00EE38B1" w:rsidRPr="00A31EA6" w:rsidRDefault="00EE38B1" w:rsidP="00A31EA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3969" w:type="dxa"/>
          </w:tcPr>
          <w:p w14:paraId="212E6769" w14:textId="77777777" w:rsidR="00EE38B1" w:rsidRPr="00A31EA6" w:rsidRDefault="00EE38B1" w:rsidP="00A31EA6">
            <w:pPr>
              <w:rPr>
                <w:rFonts w:asciiTheme="minorHAnsi" w:hAnsiTheme="minorHAnsi" w:cstheme="minorHAnsi"/>
                <w:b/>
                <w:sz w:val="22"/>
                <w:szCs w:val="20"/>
                <w:lang w:eastAsia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748"/>
        <w:tblW w:w="0" w:type="auto"/>
        <w:tblLook w:val="04A0" w:firstRow="1" w:lastRow="0" w:firstColumn="1" w:lastColumn="0" w:noHBand="0" w:noVBand="1"/>
      </w:tblPr>
      <w:tblGrid>
        <w:gridCol w:w="8897"/>
      </w:tblGrid>
      <w:tr w:rsidR="00EE38B1" w:rsidRPr="00A31EA6" w14:paraId="0A9E24AF" w14:textId="77777777" w:rsidTr="00A31EA6">
        <w:trPr>
          <w:trHeight w:val="416"/>
        </w:trPr>
        <w:tc>
          <w:tcPr>
            <w:tcW w:w="8897" w:type="dxa"/>
            <w:shd w:val="clear" w:color="auto" w:fill="001E62"/>
          </w:tcPr>
          <w:p w14:paraId="553919C3" w14:textId="77777777" w:rsidR="00EE38B1" w:rsidRPr="00A31EA6" w:rsidRDefault="00EE38B1" w:rsidP="00A31EA6">
            <w:pPr>
              <w:rPr>
                <w:rFonts w:asciiTheme="minorHAnsi" w:hAnsiTheme="minorHAnsi" w:cstheme="minorHAnsi"/>
                <w:b/>
                <w:sz w:val="22"/>
                <w:szCs w:val="20"/>
                <w:lang w:eastAsia="en-US"/>
              </w:rPr>
            </w:pPr>
            <w:r w:rsidRPr="00A31EA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  <w:lang w:eastAsia="en-US"/>
              </w:rPr>
              <w:t xml:space="preserve">Resources including team management </w:t>
            </w:r>
          </w:p>
        </w:tc>
      </w:tr>
      <w:tr w:rsidR="00EE38B1" w:rsidRPr="00A31EA6" w14:paraId="351E9EDE" w14:textId="77777777" w:rsidTr="00A31EA6">
        <w:trPr>
          <w:trHeight w:val="1086"/>
        </w:trPr>
        <w:tc>
          <w:tcPr>
            <w:tcW w:w="8897" w:type="dxa"/>
          </w:tcPr>
          <w:p w14:paraId="6B982C52" w14:textId="77777777" w:rsidR="00A31EA6" w:rsidRDefault="00A31EA6" w:rsidP="00A31EA6">
            <w:pPr>
              <w:rPr>
                <w:rFonts w:asciiTheme="minorHAnsi" w:hAnsiTheme="minorHAnsi" w:cstheme="minorHAnsi"/>
                <w:szCs w:val="20"/>
              </w:rPr>
            </w:pPr>
          </w:p>
          <w:p w14:paraId="6FF2150E" w14:textId="57BF93DB" w:rsidR="00EE38B1" w:rsidRPr="00A31EA6" w:rsidRDefault="006A23B3" w:rsidP="00A31EA6">
            <w:pPr>
              <w:rPr>
                <w:rFonts w:asciiTheme="minorHAnsi" w:hAnsiTheme="minorHAnsi" w:cstheme="minorHAnsi"/>
                <w:szCs w:val="20"/>
              </w:rPr>
            </w:pPr>
            <w:r w:rsidRPr="00A31EA6">
              <w:rPr>
                <w:rFonts w:asciiTheme="minorHAnsi" w:hAnsiTheme="minorHAnsi" w:cstheme="minorHAnsi"/>
                <w:szCs w:val="20"/>
              </w:rPr>
              <w:t>No direct line management or budget responsibility.</w:t>
            </w:r>
          </w:p>
        </w:tc>
      </w:tr>
    </w:tbl>
    <w:p w14:paraId="72C169F6" w14:textId="77777777" w:rsidR="00DE3DB1" w:rsidRPr="00B80D24" w:rsidRDefault="00DE3DB1" w:rsidP="00F94070"/>
    <w:sectPr w:rsidR="00DE3DB1" w:rsidRPr="00B80D24" w:rsidSect="0023349D">
      <w:footerReference w:type="default" r:id="rId8"/>
      <w:headerReference w:type="first" r:id="rId9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AB82" w14:textId="77777777" w:rsidR="002D1E77" w:rsidRDefault="002D1E77" w:rsidP="006E667B">
      <w:r>
        <w:separator/>
      </w:r>
    </w:p>
    <w:p w14:paraId="7773732A" w14:textId="77777777" w:rsidR="002D1E77" w:rsidRDefault="002D1E77" w:rsidP="006E667B"/>
    <w:p w14:paraId="23160367" w14:textId="77777777" w:rsidR="002D1E77" w:rsidRDefault="002D1E77" w:rsidP="006E667B"/>
  </w:endnote>
  <w:endnote w:type="continuationSeparator" w:id="0">
    <w:p w14:paraId="2C90C53E" w14:textId="77777777" w:rsidR="002D1E77" w:rsidRDefault="002D1E77" w:rsidP="006E667B">
      <w:r>
        <w:continuationSeparator/>
      </w:r>
    </w:p>
    <w:p w14:paraId="48EBA2EE" w14:textId="77777777" w:rsidR="002D1E77" w:rsidRDefault="002D1E77" w:rsidP="006E667B"/>
    <w:p w14:paraId="12D66246" w14:textId="77777777" w:rsidR="002D1E77" w:rsidRDefault="002D1E77" w:rsidP="006E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5C04" w14:textId="77777777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94070">
      <w:rPr>
        <w:noProof/>
      </w:rPr>
      <w:t>3</w:t>
    </w:r>
    <w:r>
      <w:rPr>
        <w:noProof/>
      </w:rPr>
      <w:fldChar w:fldCharType="end"/>
    </w:r>
  </w:p>
  <w:p w14:paraId="4178F9E4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2279" w14:textId="77777777" w:rsidR="002D1E77" w:rsidRDefault="002D1E77" w:rsidP="006E667B">
      <w:r>
        <w:separator/>
      </w:r>
    </w:p>
    <w:p w14:paraId="4E2C7304" w14:textId="77777777" w:rsidR="002D1E77" w:rsidRDefault="002D1E77" w:rsidP="006E667B"/>
    <w:p w14:paraId="1A45526C" w14:textId="77777777" w:rsidR="002D1E77" w:rsidRDefault="002D1E77" w:rsidP="006E667B"/>
  </w:footnote>
  <w:footnote w:type="continuationSeparator" w:id="0">
    <w:p w14:paraId="3BBEE18E" w14:textId="77777777" w:rsidR="002D1E77" w:rsidRDefault="002D1E77" w:rsidP="006E667B">
      <w:r>
        <w:continuationSeparator/>
      </w:r>
    </w:p>
    <w:p w14:paraId="24DFD86F" w14:textId="77777777" w:rsidR="002D1E77" w:rsidRDefault="002D1E77" w:rsidP="006E667B"/>
    <w:p w14:paraId="3A7ED79E" w14:textId="77777777" w:rsidR="002D1E77" w:rsidRDefault="002D1E77" w:rsidP="006E6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D4AF" w14:textId="77777777" w:rsidR="00B80D24" w:rsidRPr="00B80D24" w:rsidRDefault="00B80D24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3E753FC6" wp14:editId="331C6180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14:paraId="0A2D3BD5" w14:textId="77777777" w:rsidR="00A26F3D" w:rsidRDefault="00A26F3D">
    <w:pPr>
      <w:pStyle w:val="Header"/>
    </w:pPr>
  </w:p>
  <w:p w14:paraId="045D1068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03EE706E"/>
    <w:multiLevelType w:val="hybridMultilevel"/>
    <w:tmpl w:val="22765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97579"/>
    <w:multiLevelType w:val="hybridMultilevel"/>
    <w:tmpl w:val="07744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220DE"/>
    <w:multiLevelType w:val="hybridMultilevel"/>
    <w:tmpl w:val="2D1CE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123F2"/>
    <w:multiLevelType w:val="hybridMultilevel"/>
    <w:tmpl w:val="96165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63C1E"/>
    <w:multiLevelType w:val="hybridMultilevel"/>
    <w:tmpl w:val="FAAE8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8B617B"/>
    <w:multiLevelType w:val="hybridMultilevel"/>
    <w:tmpl w:val="EF2AB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781F9F"/>
    <w:multiLevelType w:val="hybridMultilevel"/>
    <w:tmpl w:val="AFF49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42D0A"/>
    <w:multiLevelType w:val="hybridMultilevel"/>
    <w:tmpl w:val="48B82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94741"/>
    <w:multiLevelType w:val="hybridMultilevel"/>
    <w:tmpl w:val="31FA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1012B"/>
    <w:multiLevelType w:val="hybridMultilevel"/>
    <w:tmpl w:val="DD76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9493B"/>
    <w:multiLevelType w:val="hybridMultilevel"/>
    <w:tmpl w:val="AB90230E"/>
    <w:lvl w:ilvl="0" w:tplc="4AC02526">
      <w:numFmt w:val="bullet"/>
      <w:lvlText w:val="•"/>
      <w:lvlJc w:val="left"/>
      <w:pPr>
        <w:ind w:left="1080" w:hanging="720"/>
      </w:pPr>
      <w:rPr>
        <w:rFonts w:ascii="Montserrat" w:eastAsiaTheme="minorHAnsi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84B66"/>
    <w:multiLevelType w:val="hybridMultilevel"/>
    <w:tmpl w:val="8FD0B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416258"/>
    <w:multiLevelType w:val="hybridMultilevel"/>
    <w:tmpl w:val="02AE1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98694A"/>
    <w:multiLevelType w:val="hybridMultilevel"/>
    <w:tmpl w:val="A3EAB4EE"/>
    <w:lvl w:ilvl="0" w:tplc="8DFEB16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BE7262"/>
    <w:multiLevelType w:val="hybridMultilevel"/>
    <w:tmpl w:val="788E6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9" w15:restartNumberingAfterBreak="0">
    <w:nsid w:val="4B8E53D0"/>
    <w:multiLevelType w:val="hybridMultilevel"/>
    <w:tmpl w:val="1176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94419"/>
    <w:multiLevelType w:val="hybridMultilevel"/>
    <w:tmpl w:val="7C0EB5E8"/>
    <w:lvl w:ilvl="0" w:tplc="03AE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30505"/>
    <w:multiLevelType w:val="hybridMultilevel"/>
    <w:tmpl w:val="C6646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1C13E4"/>
    <w:multiLevelType w:val="hybridMultilevel"/>
    <w:tmpl w:val="AC524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3F2D54"/>
    <w:multiLevelType w:val="hybridMultilevel"/>
    <w:tmpl w:val="3B382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1B266A"/>
    <w:multiLevelType w:val="hybridMultilevel"/>
    <w:tmpl w:val="6938E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261DA8"/>
    <w:multiLevelType w:val="hybridMultilevel"/>
    <w:tmpl w:val="E8A0D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C30A45"/>
    <w:multiLevelType w:val="hybridMultilevel"/>
    <w:tmpl w:val="46105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70B9D"/>
    <w:multiLevelType w:val="hybridMultilevel"/>
    <w:tmpl w:val="1AEAD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247E0B"/>
    <w:multiLevelType w:val="hybridMultilevel"/>
    <w:tmpl w:val="3188B3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627518"/>
    <w:multiLevelType w:val="hybridMultilevel"/>
    <w:tmpl w:val="46ACA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6B50BD"/>
    <w:multiLevelType w:val="hybridMultilevel"/>
    <w:tmpl w:val="4E06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7C409E"/>
    <w:multiLevelType w:val="hybridMultilevel"/>
    <w:tmpl w:val="6CD6E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7420EE"/>
    <w:multiLevelType w:val="hybridMultilevel"/>
    <w:tmpl w:val="23783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66769">
    <w:abstractNumId w:val="18"/>
  </w:num>
  <w:num w:numId="2" w16cid:durableId="48190730">
    <w:abstractNumId w:val="0"/>
  </w:num>
  <w:num w:numId="3" w16cid:durableId="1008408184">
    <w:abstractNumId w:val="1"/>
  </w:num>
  <w:num w:numId="4" w16cid:durableId="1832208750">
    <w:abstractNumId w:val="2"/>
  </w:num>
  <w:num w:numId="5" w16cid:durableId="1049109271">
    <w:abstractNumId w:val="20"/>
  </w:num>
  <w:num w:numId="6" w16cid:durableId="2065517761">
    <w:abstractNumId w:val="27"/>
  </w:num>
  <w:num w:numId="7" w16cid:durableId="917255197">
    <w:abstractNumId w:val="14"/>
  </w:num>
  <w:num w:numId="8" w16cid:durableId="700788939">
    <w:abstractNumId w:val="8"/>
  </w:num>
  <w:num w:numId="9" w16cid:durableId="1770662604">
    <w:abstractNumId w:val="7"/>
  </w:num>
  <w:num w:numId="10" w16cid:durableId="517351920">
    <w:abstractNumId w:val="31"/>
  </w:num>
  <w:num w:numId="11" w16cid:durableId="1483305944">
    <w:abstractNumId w:val="11"/>
  </w:num>
  <w:num w:numId="12" w16cid:durableId="1197890005">
    <w:abstractNumId w:val="4"/>
  </w:num>
  <w:num w:numId="13" w16cid:durableId="1910916523">
    <w:abstractNumId w:val="6"/>
  </w:num>
  <w:num w:numId="14" w16cid:durableId="1427657269">
    <w:abstractNumId w:val="32"/>
  </w:num>
  <w:num w:numId="15" w16cid:durableId="1842430852">
    <w:abstractNumId w:val="16"/>
  </w:num>
  <w:num w:numId="16" w16cid:durableId="263657709">
    <w:abstractNumId w:val="9"/>
  </w:num>
  <w:num w:numId="17" w16cid:durableId="52311623">
    <w:abstractNumId w:val="30"/>
  </w:num>
  <w:num w:numId="18" w16cid:durableId="372922118">
    <w:abstractNumId w:val="17"/>
  </w:num>
  <w:num w:numId="19" w16cid:durableId="483351755">
    <w:abstractNumId w:val="12"/>
  </w:num>
  <w:num w:numId="20" w16cid:durableId="162479103">
    <w:abstractNumId w:val="22"/>
  </w:num>
  <w:num w:numId="21" w16cid:durableId="1022438923">
    <w:abstractNumId w:val="10"/>
  </w:num>
  <w:num w:numId="22" w16cid:durableId="1377698980">
    <w:abstractNumId w:val="15"/>
  </w:num>
  <w:num w:numId="23" w16cid:durableId="1687713958">
    <w:abstractNumId w:val="21"/>
  </w:num>
  <w:num w:numId="24" w16cid:durableId="240676874">
    <w:abstractNumId w:val="29"/>
  </w:num>
  <w:num w:numId="25" w16cid:durableId="750736974">
    <w:abstractNumId w:val="23"/>
  </w:num>
  <w:num w:numId="26" w16cid:durableId="1991327722">
    <w:abstractNumId w:val="25"/>
  </w:num>
  <w:num w:numId="27" w16cid:durableId="1051072184">
    <w:abstractNumId w:val="5"/>
  </w:num>
  <w:num w:numId="28" w16cid:durableId="474106729">
    <w:abstractNumId w:val="24"/>
  </w:num>
  <w:num w:numId="29" w16cid:durableId="912275992">
    <w:abstractNumId w:val="28"/>
  </w:num>
  <w:num w:numId="30" w16cid:durableId="1847667634">
    <w:abstractNumId w:val="3"/>
  </w:num>
  <w:num w:numId="31" w16cid:durableId="1021905205">
    <w:abstractNumId w:val="19"/>
  </w:num>
  <w:num w:numId="32" w16cid:durableId="71392562">
    <w:abstractNumId w:val="26"/>
  </w:num>
  <w:num w:numId="33" w16cid:durableId="2012639655">
    <w:abstractNumId w:val="13"/>
  </w:num>
  <w:num w:numId="34" w16cid:durableId="248320589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321BD"/>
    <w:rsid w:val="00065AD3"/>
    <w:rsid w:val="00083193"/>
    <w:rsid w:val="000A4D1E"/>
    <w:rsid w:val="000B4D06"/>
    <w:rsid w:val="001201EE"/>
    <w:rsid w:val="00126D78"/>
    <w:rsid w:val="00132B02"/>
    <w:rsid w:val="00157DA6"/>
    <w:rsid w:val="00176E20"/>
    <w:rsid w:val="001A26D5"/>
    <w:rsid w:val="001C194F"/>
    <w:rsid w:val="00202BC6"/>
    <w:rsid w:val="0023349D"/>
    <w:rsid w:val="00293801"/>
    <w:rsid w:val="002D1E77"/>
    <w:rsid w:val="002E1603"/>
    <w:rsid w:val="002F2A4A"/>
    <w:rsid w:val="003069F7"/>
    <w:rsid w:val="003653E7"/>
    <w:rsid w:val="0036781E"/>
    <w:rsid w:val="0039778B"/>
    <w:rsid w:val="003C577E"/>
    <w:rsid w:val="003E7EC4"/>
    <w:rsid w:val="00423B18"/>
    <w:rsid w:val="0042642B"/>
    <w:rsid w:val="004502CB"/>
    <w:rsid w:val="004B4B46"/>
    <w:rsid w:val="004D4529"/>
    <w:rsid w:val="00525269"/>
    <w:rsid w:val="00532E51"/>
    <w:rsid w:val="00540AB3"/>
    <w:rsid w:val="00546A3D"/>
    <w:rsid w:val="00547738"/>
    <w:rsid w:val="00552434"/>
    <w:rsid w:val="00575995"/>
    <w:rsid w:val="005A3827"/>
    <w:rsid w:val="005E0038"/>
    <w:rsid w:val="006266ED"/>
    <w:rsid w:val="00643AD8"/>
    <w:rsid w:val="00670EE5"/>
    <w:rsid w:val="0067240E"/>
    <w:rsid w:val="006A23B3"/>
    <w:rsid w:val="006B2235"/>
    <w:rsid w:val="006E667B"/>
    <w:rsid w:val="006F20E8"/>
    <w:rsid w:val="00722A08"/>
    <w:rsid w:val="0072596A"/>
    <w:rsid w:val="00732970"/>
    <w:rsid w:val="0073305F"/>
    <w:rsid w:val="00740553"/>
    <w:rsid w:val="007509A4"/>
    <w:rsid w:val="007902D4"/>
    <w:rsid w:val="007C0739"/>
    <w:rsid w:val="007E7814"/>
    <w:rsid w:val="007F0246"/>
    <w:rsid w:val="007F03E6"/>
    <w:rsid w:val="008932D3"/>
    <w:rsid w:val="008A0D70"/>
    <w:rsid w:val="008F769B"/>
    <w:rsid w:val="008F7718"/>
    <w:rsid w:val="00905369"/>
    <w:rsid w:val="0094275B"/>
    <w:rsid w:val="009428DD"/>
    <w:rsid w:val="0094749E"/>
    <w:rsid w:val="00973853"/>
    <w:rsid w:val="009A6D19"/>
    <w:rsid w:val="009F48A2"/>
    <w:rsid w:val="009F5B72"/>
    <w:rsid w:val="00A26F3D"/>
    <w:rsid w:val="00A31EA6"/>
    <w:rsid w:val="00A60D20"/>
    <w:rsid w:val="00B032B1"/>
    <w:rsid w:val="00B80D24"/>
    <w:rsid w:val="00BC7AD4"/>
    <w:rsid w:val="00BF0194"/>
    <w:rsid w:val="00C56F98"/>
    <w:rsid w:val="00C841B5"/>
    <w:rsid w:val="00CD15A8"/>
    <w:rsid w:val="00D01F88"/>
    <w:rsid w:val="00D1609E"/>
    <w:rsid w:val="00D2280D"/>
    <w:rsid w:val="00D53881"/>
    <w:rsid w:val="00D67411"/>
    <w:rsid w:val="00D83DE5"/>
    <w:rsid w:val="00D83DEB"/>
    <w:rsid w:val="00D85467"/>
    <w:rsid w:val="00D925F7"/>
    <w:rsid w:val="00DA21F2"/>
    <w:rsid w:val="00DC36F9"/>
    <w:rsid w:val="00DE0AFB"/>
    <w:rsid w:val="00DE3DB1"/>
    <w:rsid w:val="00E24033"/>
    <w:rsid w:val="00E40805"/>
    <w:rsid w:val="00E61105"/>
    <w:rsid w:val="00EB135C"/>
    <w:rsid w:val="00EE38B1"/>
    <w:rsid w:val="00F32FCC"/>
    <w:rsid w:val="00F8423C"/>
    <w:rsid w:val="00F94070"/>
    <w:rsid w:val="00FC36DC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C92128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A31EA6"/>
    <w:pPr>
      <w:framePr w:hSpace="180" w:wrap="around" w:vAnchor="text" w:hAnchor="margin" w:y="18"/>
      <w:numPr>
        <w:numId w:val="15"/>
      </w:numPr>
      <w:autoSpaceDE w:val="0"/>
      <w:autoSpaceDN w:val="0"/>
      <w:adjustRightInd w:val="0"/>
      <w:spacing w:after="100" w:line="241" w:lineRule="atLeast"/>
      <w:contextualSpacing/>
    </w:p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9F48A2"/>
    <w:pPr>
      <w:spacing w:after="0" w:line="240" w:lineRule="auto"/>
      <w:ind w:left="0"/>
    </w:pPr>
    <w:rPr>
      <w:rFonts w:ascii="Arial" w:hAnsi="Arial"/>
      <w:color w:val="001E6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B6C205-629B-4B46-9850-45162767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949</Words>
  <Characters>5413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Daniel Lay</cp:lastModifiedBy>
  <cp:revision>2</cp:revision>
  <dcterms:created xsi:type="dcterms:W3CDTF">2025-03-06T13:36:00Z</dcterms:created>
  <dcterms:modified xsi:type="dcterms:W3CDTF">2025-03-06T13:36:00Z</dcterms:modified>
</cp:coreProperties>
</file>