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1417"/>
      </w:tblGrid>
      <w:tr w:rsidR="00D86A01" w:rsidRPr="008F12C7" w14:paraId="2B46539D" w14:textId="77777777" w:rsidTr="004502CB">
        <w:tc>
          <w:tcPr>
            <w:tcW w:w="1668" w:type="dxa"/>
            <w:shd w:val="clear" w:color="auto" w:fill="001E62"/>
          </w:tcPr>
          <w:p w14:paraId="7993994D" w14:textId="77777777" w:rsidR="00D86A01" w:rsidRPr="007C0739" w:rsidRDefault="00D86A01" w:rsidP="00D86A01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4252" w:type="dxa"/>
            <w:gridSpan w:val="3"/>
          </w:tcPr>
          <w:p w14:paraId="2E6D1EE0" w14:textId="77777777" w:rsidR="00D86A01" w:rsidRPr="00D86A01" w:rsidRDefault="00D86A01" w:rsidP="00D86A01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D86A01">
              <w:rPr>
                <w:rFonts w:ascii="Montserrat" w:hAnsi="Montserrat" w:cs="Arial"/>
                <w:b/>
                <w:szCs w:val="20"/>
                <w:lang w:eastAsia="en-US"/>
              </w:rPr>
              <w:t xml:space="preserve">Manager, Experiential Learning </w:t>
            </w:r>
            <w:r w:rsidRPr="00D86A01">
              <w:rPr>
                <w:rFonts w:ascii="Montserrat" w:hAnsi="Montserrat" w:cs="Arial"/>
                <w:b/>
                <w:szCs w:val="20"/>
                <w:lang w:eastAsia="en-US"/>
              </w:rPr>
              <w:br/>
              <w:t>(London Applied)</w:t>
            </w:r>
          </w:p>
        </w:tc>
      </w:tr>
      <w:tr w:rsidR="00D86A01" w:rsidRPr="008F12C7" w14:paraId="0BDED02B" w14:textId="77777777" w:rsidTr="004502CB">
        <w:tc>
          <w:tcPr>
            <w:tcW w:w="1668" w:type="dxa"/>
            <w:shd w:val="clear" w:color="auto" w:fill="001E62"/>
          </w:tcPr>
          <w:p w14:paraId="44027884" w14:textId="77777777" w:rsidR="00D86A01" w:rsidRPr="007C0739" w:rsidRDefault="00D86A01" w:rsidP="00D86A01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4252" w:type="dxa"/>
            <w:gridSpan w:val="3"/>
          </w:tcPr>
          <w:p w14:paraId="2DD6288F" w14:textId="77777777" w:rsidR="00D86A01" w:rsidRPr="00D86A01" w:rsidRDefault="00D86A01" w:rsidP="00D86A01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D86A01">
              <w:rPr>
                <w:rFonts w:ascii="Montserrat" w:hAnsi="Montserrat" w:cs="Arial"/>
                <w:b/>
                <w:szCs w:val="20"/>
                <w:lang w:eastAsia="en-US"/>
              </w:rPr>
              <w:t>Senior Manager, Experiential Learning (London Applied)</w:t>
            </w:r>
          </w:p>
        </w:tc>
      </w:tr>
      <w:tr w:rsidR="00D86A01" w:rsidRPr="008F12C7" w14:paraId="6FD8ABB5" w14:textId="77777777" w:rsidTr="00D01F88">
        <w:trPr>
          <w:trHeight w:val="576"/>
        </w:trPr>
        <w:tc>
          <w:tcPr>
            <w:tcW w:w="1668" w:type="dxa"/>
            <w:shd w:val="clear" w:color="auto" w:fill="001E62"/>
          </w:tcPr>
          <w:p w14:paraId="7DE4A968" w14:textId="77777777" w:rsidR="00D86A01" w:rsidRPr="007C0739" w:rsidRDefault="00D86A01" w:rsidP="00D86A01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4252" w:type="dxa"/>
            <w:gridSpan w:val="3"/>
          </w:tcPr>
          <w:p w14:paraId="4843E5EE" w14:textId="109D626B" w:rsidR="00D86A01" w:rsidRPr="00D86A01" w:rsidRDefault="00D86A01" w:rsidP="00D86A01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D86A01">
              <w:rPr>
                <w:rFonts w:ascii="Montserrat" w:hAnsi="Montserrat" w:cs="Arial"/>
                <w:b/>
                <w:szCs w:val="20"/>
                <w:lang w:eastAsia="en-US"/>
              </w:rPr>
              <w:t xml:space="preserve">Degree Education </w:t>
            </w:r>
          </w:p>
        </w:tc>
      </w:tr>
      <w:tr w:rsidR="004502CB" w:rsidRPr="008F12C7" w14:paraId="28ED85AC" w14:textId="77777777" w:rsidTr="004502CB">
        <w:tc>
          <w:tcPr>
            <w:tcW w:w="1668" w:type="dxa"/>
            <w:shd w:val="clear" w:color="auto" w:fill="001E62"/>
          </w:tcPr>
          <w:p w14:paraId="66402D32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4712CD7A" w14:textId="77777777" w:rsidR="004502CB" w:rsidRPr="00D25FEA" w:rsidRDefault="00795615" w:rsidP="00795615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D25FEA">
              <w:rPr>
                <w:rFonts w:ascii="Montserrat" w:hAnsi="Montserrat" w:cs="Arial"/>
                <w:b/>
                <w:szCs w:val="20"/>
                <w:lang w:eastAsia="en-US"/>
              </w:rPr>
              <w:t xml:space="preserve">Learning </w:t>
            </w:r>
            <w:r w:rsidR="00D01F88" w:rsidRPr="00D25FEA">
              <w:rPr>
                <w:rFonts w:ascii="Montserrat" w:hAnsi="Montserrat" w:cs="Arial"/>
                <w:b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001E62"/>
          </w:tcPr>
          <w:p w14:paraId="376193E4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1417" w:type="dxa"/>
          </w:tcPr>
          <w:p w14:paraId="3573721D" w14:textId="77777777" w:rsidR="004502CB" w:rsidRPr="00243B94" w:rsidRDefault="002F1C22" w:rsidP="009F0B63">
            <w:pPr>
              <w:spacing w:after="200" w:line="276" w:lineRule="auto"/>
              <w:rPr>
                <w:rFonts w:ascii="Montserrat" w:hAnsi="Montserrat" w:cs="Arial"/>
                <w:b/>
                <w:szCs w:val="20"/>
                <w:lang w:eastAsia="en-US"/>
              </w:rPr>
            </w:pPr>
            <w:r w:rsidRPr="00243B94">
              <w:rPr>
                <w:rFonts w:ascii="Montserrat" w:hAnsi="Montserrat" w:cs="Arial"/>
                <w:b/>
                <w:szCs w:val="20"/>
                <w:lang w:eastAsia="en-US"/>
              </w:rPr>
              <w:t>3</w:t>
            </w:r>
          </w:p>
        </w:tc>
      </w:tr>
    </w:tbl>
    <w:p w14:paraId="3B2DE7BC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8F12C7" w14:paraId="40C95C0A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6B1FDF60" w14:textId="77777777" w:rsidR="004502CB" w:rsidRPr="007C0739" w:rsidRDefault="004502CB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7C0739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8F12C7" w14:paraId="446E45C9" w14:textId="77777777" w:rsidTr="009F0B63">
        <w:trPr>
          <w:trHeight w:val="1086"/>
        </w:trPr>
        <w:tc>
          <w:tcPr>
            <w:tcW w:w="8897" w:type="dxa"/>
          </w:tcPr>
          <w:p w14:paraId="07DCB059" w14:textId="77777777" w:rsidR="004502CB" w:rsidRPr="007C0739" w:rsidRDefault="0030557D" w:rsidP="009F0B63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At London Business School, we strive to have a profound impact on the way the world does business and the way business impacts the world. </w:t>
            </w:r>
            <w:r w:rsidR="004502CB" w:rsidRPr="007C0739">
              <w:rPr>
                <w:rFonts w:ascii="Montserrat" w:hAnsi="Montserrat"/>
              </w:rPr>
              <w:t xml:space="preserve">Our departments work hard to ensure that we are continually delivering a world-class service, academic excellence and that our course offering maintains our place as a leading business school. </w:t>
            </w:r>
          </w:p>
          <w:p w14:paraId="3865E919" w14:textId="77777777" w:rsidR="004502CB" w:rsidRPr="007C0739" w:rsidRDefault="004502CB" w:rsidP="009F0B63">
            <w:pPr>
              <w:rPr>
                <w:rFonts w:ascii="Montserrat" w:hAnsi="Montserrat"/>
              </w:rPr>
            </w:pPr>
            <w:r w:rsidRPr="007C0739">
              <w:rPr>
                <w:rFonts w:ascii="Montserrat" w:hAnsi="Montserrat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7C0739">
              <w:rPr>
                <w:rFonts w:ascii="Montserrat" w:hAnsi="Montserrat"/>
              </w:rPr>
              <w:t>customised</w:t>
            </w:r>
            <w:proofErr w:type="spellEnd"/>
            <w:r w:rsidRPr="007C0739">
              <w:rPr>
                <w:rFonts w:ascii="Montserrat" w:hAnsi="Montserrat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38AC48B6" w14:textId="77777777" w:rsidR="004502CB" w:rsidRPr="00865EA4" w:rsidRDefault="004502CB" w:rsidP="009F0B63">
            <w:pPr>
              <w:rPr>
                <w:rFonts w:ascii="HelveticaNeueLT Std" w:hAnsi="HelveticaNeueLT Std"/>
              </w:rPr>
            </w:pPr>
            <w:r w:rsidRPr="007C0739">
              <w:rPr>
                <w:rFonts w:ascii="Montserrat" w:hAnsi="Montserrat"/>
              </w:rPr>
              <w:t xml:space="preserve">With London in our hearts, we draw from its status as a financial, </w:t>
            </w:r>
            <w:proofErr w:type="gramStart"/>
            <w:r w:rsidRPr="007C0739">
              <w:rPr>
                <w:rFonts w:ascii="Montserrat" w:hAnsi="Montserrat"/>
              </w:rPr>
              <w:t>entrepreneurial</w:t>
            </w:r>
            <w:proofErr w:type="gramEnd"/>
            <w:r w:rsidRPr="007C0739">
              <w:rPr>
                <w:rFonts w:ascii="Montserrat" w:hAnsi="Montserrat"/>
              </w:rPr>
              <w:t xml:space="preserve"> and cultural hub to attract a diverse range of students and faculty, creating an abundance of opportunities to network with industry experts and alumni worldwide.</w:t>
            </w:r>
            <w:r w:rsidRPr="00865EA4">
              <w:rPr>
                <w:rFonts w:ascii="HelveticaNeueLT Std" w:hAnsi="HelveticaNeueLT Std"/>
              </w:rPr>
              <w:t xml:space="preserve"> </w:t>
            </w:r>
          </w:p>
        </w:tc>
      </w:tr>
    </w:tbl>
    <w:p w14:paraId="5577F76D" w14:textId="77777777" w:rsidR="004502CB" w:rsidRDefault="004502CB" w:rsidP="004502CB">
      <w:pPr>
        <w:spacing w:after="160" w:line="25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3FD5F581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765BEE68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8F12C7" w14:paraId="1A990F3A" w14:textId="77777777" w:rsidTr="009F0B63">
        <w:trPr>
          <w:trHeight w:val="1086"/>
        </w:trPr>
        <w:tc>
          <w:tcPr>
            <w:tcW w:w="8897" w:type="dxa"/>
          </w:tcPr>
          <w:p w14:paraId="0E383B18" w14:textId="77777777" w:rsidR="00D86A01" w:rsidRPr="00D86A01" w:rsidRDefault="00D86A01" w:rsidP="00D86A01">
            <w:pPr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 xml:space="preserve">Degree Education and Career Centre contributes to the </w:t>
            </w:r>
            <w:proofErr w:type="gramStart"/>
            <w:r w:rsidRPr="00D86A01">
              <w:rPr>
                <w:rFonts w:ascii="Montserrat" w:hAnsi="Montserrat"/>
              </w:rPr>
              <w:t>School</w:t>
            </w:r>
            <w:proofErr w:type="gramEnd"/>
            <w:r w:rsidRPr="00D86A01">
              <w:rPr>
                <w:rFonts w:ascii="Montserrat" w:hAnsi="Montserrat"/>
              </w:rPr>
              <w:t xml:space="preserve"> vision by:</w:t>
            </w:r>
          </w:p>
          <w:p w14:paraId="1E3FCA68" w14:textId="77777777" w:rsidR="00D86A01" w:rsidRPr="00D86A01" w:rsidRDefault="00D86A01" w:rsidP="00D86A01">
            <w:pPr>
              <w:pStyle w:val="ListParagraph"/>
              <w:spacing w:after="0"/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>Attracting and selecting talent from around the world</w:t>
            </w:r>
          </w:p>
          <w:p w14:paraId="1044C496" w14:textId="77777777" w:rsidR="00D86A01" w:rsidRPr="00D86A01" w:rsidRDefault="00D86A01" w:rsidP="00D86A01">
            <w:pPr>
              <w:pStyle w:val="ListParagraph"/>
              <w:spacing w:after="0"/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>Creating an environment in which students can learn and faculty can teach</w:t>
            </w:r>
          </w:p>
          <w:p w14:paraId="393668F0" w14:textId="77777777" w:rsidR="00D86A01" w:rsidRPr="00D86A01" w:rsidRDefault="00D86A01" w:rsidP="00D86A01">
            <w:pPr>
              <w:pStyle w:val="ListParagraph"/>
              <w:spacing w:after="0"/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>Maximizing student and alumni career opportunities though developing their career skills and engaging with employers.</w:t>
            </w:r>
          </w:p>
          <w:p w14:paraId="77648CBC" w14:textId="77777777" w:rsidR="00D86A01" w:rsidRPr="00D86A01" w:rsidRDefault="00D86A01" w:rsidP="00D86A01">
            <w:pPr>
              <w:pStyle w:val="ListParagraph"/>
              <w:spacing w:after="0"/>
              <w:rPr>
                <w:rFonts w:ascii="HelveticaNeueLT Std" w:hAnsi="HelveticaNeueLT Std" w:cs="Arial"/>
                <w:szCs w:val="20"/>
              </w:rPr>
            </w:pPr>
            <w:r w:rsidRPr="00D86A01">
              <w:rPr>
                <w:rFonts w:ascii="Montserrat" w:hAnsi="Montserrat"/>
              </w:rPr>
              <w:t>We want to create an exceptional learning environment for a global, cross-generational community of intellectually curious, critical thinkers.</w:t>
            </w:r>
          </w:p>
          <w:p w14:paraId="6778086C" w14:textId="77777777" w:rsidR="00D86A01" w:rsidRPr="00D86A01" w:rsidRDefault="00D86A01" w:rsidP="00D86A0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HelveticaNeueLT Std" w:hAnsi="HelveticaNeueLT Std" w:cs="Arial"/>
                <w:szCs w:val="20"/>
              </w:rPr>
            </w:pPr>
          </w:p>
          <w:p w14:paraId="02E80874" w14:textId="77777777" w:rsidR="00B80D24" w:rsidRPr="00D86A01" w:rsidRDefault="00D86A01" w:rsidP="009F0B63">
            <w:pPr>
              <w:rPr>
                <w:rFonts w:ascii="Montserrat" w:hAnsi="Montserrat" w:cs="Arial"/>
                <w:b/>
                <w:sz w:val="22"/>
                <w:szCs w:val="20"/>
                <w:lang w:eastAsia="en-US"/>
              </w:rPr>
            </w:pPr>
            <w:r w:rsidRPr="00D86A01">
              <w:rPr>
                <w:rFonts w:ascii="Montserrat" w:hAnsi="Montserrat"/>
              </w:rPr>
              <w:t xml:space="preserve">Degree Education and Career Centre is responsible for designing, promoting, recruiting for and delivering London Business School’s portfolio of degree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 xml:space="preserve">, which includes the MBA, a suite of Executive MBA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 xml:space="preserve"> (London-based, Dubai-based, EMBA-Global with Columbia Business School and EMBA-Global Asia with Columbia and HKU), the Sloan Masters in Leadership and Strategy, the Masters in Finance (full-time and modular), the Masters in Management and Global </w:t>
            </w:r>
            <w:proofErr w:type="spellStart"/>
            <w:r w:rsidRPr="00D86A01">
              <w:rPr>
                <w:rFonts w:ascii="Montserrat" w:hAnsi="Montserrat"/>
              </w:rPr>
              <w:t>MiM</w:t>
            </w:r>
            <w:proofErr w:type="spellEnd"/>
            <w:r w:rsidRPr="00D86A01">
              <w:rPr>
                <w:rFonts w:ascii="Montserrat" w:hAnsi="Montserrat"/>
              </w:rPr>
              <w:t xml:space="preserve"> (</w:t>
            </w:r>
            <w:proofErr w:type="spellStart"/>
            <w:r w:rsidRPr="00D86A01">
              <w:rPr>
                <w:rFonts w:ascii="Montserrat" w:hAnsi="Montserrat"/>
              </w:rPr>
              <w:t>MiM</w:t>
            </w:r>
            <w:proofErr w:type="spellEnd"/>
            <w:r w:rsidRPr="00D86A01">
              <w:rPr>
                <w:rFonts w:ascii="Montserrat" w:hAnsi="Montserrat"/>
              </w:rPr>
              <w:t xml:space="preserve">) and the Masters in Financial Analysis (MFA). The degree </w:t>
            </w:r>
            <w:r w:rsidRPr="00D86A01">
              <w:rPr>
                <w:rFonts w:ascii="Montserrat" w:hAnsi="Montserrat"/>
              </w:rPr>
              <w:lastRenderedPageBreak/>
              <w:t xml:space="preserve">portfolio represents over 50% of London Business School’s revenues. </w:t>
            </w:r>
            <w:proofErr w:type="gramStart"/>
            <w:r w:rsidRPr="00D86A01">
              <w:rPr>
                <w:rFonts w:ascii="Montserrat" w:hAnsi="Montserrat"/>
              </w:rPr>
              <w:t>A number of</w:t>
            </w:r>
            <w:proofErr w:type="gramEnd"/>
            <w:r w:rsidRPr="00D86A01">
              <w:rPr>
                <w:rFonts w:ascii="Montserrat" w:hAnsi="Montserrat"/>
              </w:rPr>
              <w:t xml:space="preserve">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 xml:space="preserve"> are ranked in the top #10 by the Financial Times.</w:t>
            </w:r>
          </w:p>
        </w:tc>
      </w:tr>
    </w:tbl>
    <w:p w14:paraId="7CE9E9AD" w14:textId="77777777" w:rsidR="008A0D70" w:rsidRDefault="008A0D70" w:rsidP="008A0D70"/>
    <w:p w14:paraId="34B69F3D" w14:textId="77777777" w:rsidR="00B80D24" w:rsidRDefault="00B80D24" w:rsidP="008A0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8F12C7" w14:paraId="0C1F7EB6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5D07B7B5" w14:textId="77777777" w:rsidR="00B80D24" w:rsidRPr="00B80D24" w:rsidRDefault="00B80D24" w:rsidP="009F0B63">
            <w:pPr>
              <w:rPr>
                <w:rFonts w:ascii="GT Sectra Fine Bold" w:hAnsi="GT Sectra Fine Bold" w:cs="Arial"/>
                <w:b/>
                <w:sz w:val="22"/>
                <w:szCs w:val="20"/>
                <w:lang w:eastAsia="en-US"/>
              </w:rPr>
            </w:pPr>
            <w:r w:rsidRPr="00B80D24">
              <w:rPr>
                <w:rFonts w:ascii="GT Sectra Fine Bold" w:hAnsi="GT Sectra Fine Bol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B80D24" w:rsidRPr="008F12C7" w14:paraId="4BBD399B" w14:textId="77777777" w:rsidTr="009F0B63">
        <w:trPr>
          <w:trHeight w:val="1086"/>
        </w:trPr>
        <w:tc>
          <w:tcPr>
            <w:tcW w:w="8897" w:type="dxa"/>
          </w:tcPr>
          <w:p w14:paraId="2F4CCB6F" w14:textId="1EC8C326" w:rsidR="00D86A01" w:rsidRPr="00D86A01" w:rsidRDefault="00D86A01" w:rsidP="00D86A01">
            <w:pPr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 xml:space="preserve">Increasing its presence and relationships within and outside the UK is a key priority for the LBS as a global business school. This position will support and help lead the sourcing and management of a portfolio of London-based in-company project/consulting engagements and contribute to the expansion and diversification of the London-based experiential </w:t>
            </w:r>
            <w:proofErr w:type="spellStart"/>
            <w:r w:rsidRPr="00D86A01">
              <w:rPr>
                <w:rFonts w:ascii="Montserrat" w:hAnsi="Montserrat"/>
              </w:rPr>
              <w:t>programme</w:t>
            </w:r>
            <w:proofErr w:type="spellEnd"/>
            <w:r w:rsidRPr="00D86A01">
              <w:rPr>
                <w:rFonts w:ascii="Montserrat" w:hAnsi="Montserrat"/>
              </w:rPr>
              <w:t xml:space="preserve"> portfolios. The core components of this portfolio are known as the </w:t>
            </w:r>
            <w:r w:rsidR="00441F00">
              <w:rPr>
                <w:rFonts w:ascii="Montserrat" w:hAnsi="Montserrat"/>
              </w:rPr>
              <w:t xml:space="preserve">London Business Challenge Week, </w:t>
            </w:r>
            <w:proofErr w:type="spellStart"/>
            <w:r w:rsidRPr="00D86A01">
              <w:rPr>
                <w:rFonts w:ascii="Montserrat" w:hAnsi="Montserrat"/>
              </w:rPr>
              <w:t>LondonCAP</w:t>
            </w:r>
            <w:proofErr w:type="spellEnd"/>
            <w:r w:rsidRPr="00D86A01">
              <w:rPr>
                <w:rFonts w:ascii="Montserrat" w:hAnsi="Montserrat"/>
              </w:rPr>
              <w:t xml:space="preserve"> and </w:t>
            </w:r>
            <w:proofErr w:type="spellStart"/>
            <w:r w:rsidRPr="00D86A01">
              <w:rPr>
                <w:rFonts w:ascii="Montserrat" w:hAnsi="Montserrat"/>
              </w:rPr>
              <w:t>LondonLAB</w:t>
            </w:r>
            <w:proofErr w:type="spellEnd"/>
            <w:r w:rsidRPr="00D86A01">
              <w:rPr>
                <w:rFonts w:ascii="Montserrat" w:hAnsi="Montserrat"/>
              </w:rPr>
              <w:t xml:space="preserve">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 xml:space="preserve">. These courses </w:t>
            </w:r>
            <w:proofErr w:type="spellStart"/>
            <w:r w:rsidRPr="00D86A01">
              <w:rPr>
                <w:rFonts w:ascii="Montserrat" w:hAnsi="Montserrat"/>
              </w:rPr>
              <w:t>capitalise</w:t>
            </w:r>
            <w:proofErr w:type="spellEnd"/>
            <w:r w:rsidRPr="00D86A01">
              <w:rPr>
                <w:rFonts w:ascii="Montserrat" w:hAnsi="Montserrat"/>
              </w:rPr>
              <w:t xml:space="preserve"> on our connections to the London business community and enable students to apply and integrate the knowledge from their Core curriculum to business challenges at leading companies in London across a range of different sectors through extended project engagements. </w:t>
            </w:r>
          </w:p>
          <w:p w14:paraId="30252775" w14:textId="77777777" w:rsidR="00D86A01" w:rsidRPr="00D86A01" w:rsidRDefault="00D86A01" w:rsidP="00D86A01">
            <w:pPr>
              <w:rPr>
                <w:rFonts w:ascii="Montserrat" w:hAnsi="Montserrat"/>
              </w:rPr>
            </w:pPr>
            <w:r w:rsidRPr="00D86A01">
              <w:rPr>
                <w:rFonts w:ascii="Montserrat" w:hAnsi="Montserrat"/>
              </w:rPr>
              <w:t>This portfolio will be fully integrated and aligned with the School’s Mission and will drive many of the School’s major experiential learning initiatives.</w:t>
            </w:r>
          </w:p>
          <w:p w14:paraId="1C678DF2" w14:textId="1549E10C" w:rsidR="00B80D24" w:rsidRPr="00D86A01" w:rsidRDefault="00D86A01" w:rsidP="009F0B63">
            <w:pPr>
              <w:rPr>
                <w:rFonts w:ascii="HelveticaNeueLT Std" w:hAnsi="HelveticaNeueLT Std" w:cs="Arial"/>
                <w:szCs w:val="20"/>
                <w:lang w:eastAsia="en-US"/>
              </w:rPr>
            </w:pPr>
            <w:r w:rsidRPr="00D86A01">
              <w:rPr>
                <w:rFonts w:ascii="Montserrat" w:hAnsi="Montserrat"/>
              </w:rPr>
              <w:t xml:space="preserve">The post holder will report to </w:t>
            </w:r>
            <w:r w:rsidR="0058023E">
              <w:rPr>
                <w:rFonts w:ascii="Montserrat" w:hAnsi="Montserrat"/>
              </w:rPr>
              <w:t>the</w:t>
            </w:r>
            <w:r w:rsidRPr="00D86A01">
              <w:rPr>
                <w:rFonts w:ascii="Montserrat" w:hAnsi="Montserrat"/>
              </w:rPr>
              <w:t xml:space="preserve"> Senior Manager, Experiential Learning and will be responsible for supporting the development and delivery of a range of London-based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 xml:space="preserve">, working closely with other members of the Global Experiences team, the </w:t>
            </w:r>
            <w:proofErr w:type="spellStart"/>
            <w:r w:rsidRPr="00D86A01">
              <w:rPr>
                <w:rFonts w:ascii="Montserrat" w:hAnsi="Montserrat"/>
              </w:rPr>
              <w:t>Programme</w:t>
            </w:r>
            <w:proofErr w:type="spellEnd"/>
            <w:r w:rsidRPr="00D86A01">
              <w:rPr>
                <w:rFonts w:ascii="Montserrat" w:hAnsi="Montserrat"/>
              </w:rPr>
              <w:t xml:space="preserve"> Offices of the relevant degree </w:t>
            </w:r>
            <w:proofErr w:type="spellStart"/>
            <w:r w:rsidRPr="00D86A01">
              <w:rPr>
                <w:rFonts w:ascii="Montserrat" w:hAnsi="Montserrat"/>
              </w:rPr>
              <w:t>programmes</w:t>
            </w:r>
            <w:proofErr w:type="spellEnd"/>
            <w:r w:rsidRPr="00D86A01">
              <w:rPr>
                <w:rFonts w:ascii="Montserrat" w:hAnsi="Montserrat"/>
              </w:rPr>
              <w:t>, the faculty, the Career Centre team, the Advancement team, and other internal and external stakeholders.</w:t>
            </w:r>
          </w:p>
        </w:tc>
      </w:tr>
    </w:tbl>
    <w:p w14:paraId="3557CE18" w14:textId="77777777" w:rsidR="00B80D24" w:rsidRDefault="00B80D24" w:rsidP="00B80D24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9623"/>
      </w:tblGrid>
      <w:tr w:rsidR="00B80D24" w:rsidRPr="008F12C7" w14:paraId="46C3D67E" w14:textId="77777777" w:rsidTr="00CF4059">
        <w:trPr>
          <w:trHeight w:val="287"/>
        </w:trPr>
        <w:tc>
          <w:tcPr>
            <w:tcW w:w="8867" w:type="dxa"/>
            <w:shd w:val="clear" w:color="auto" w:fill="001E62"/>
          </w:tcPr>
          <w:p w14:paraId="048A3FF2" w14:textId="77777777" w:rsidR="00B80D24" w:rsidRPr="00B80D24" w:rsidRDefault="00B80D24" w:rsidP="00CF4059">
            <w:pPr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B80D24">
              <w:rPr>
                <w:rFonts w:ascii="GT Sectra Fine BoldStd" w:hAnsi="GT Sectra Fine Bold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2F1C22" w:rsidRPr="00795615" w14:paraId="36A81C11" w14:textId="77777777" w:rsidTr="00CF4059">
        <w:trPr>
          <w:trHeight w:val="748"/>
        </w:trPr>
        <w:tc>
          <w:tcPr>
            <w:tcW w:w="8867" w:type="dxa"/>
          </w:tcPr>
          <w:p w14:paraId="620886B9" w14:textId="77777777" w:rsidR="002F1C22" w:rsidRPr="002F1C22" w:rsidRDefault="002F1C22" w:rsidP="002F1C22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2F1C22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7C255712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>Relationship Management</w:t>
            </w:r>
          </w:p>
          <w:p w14:paraId="3F8A5502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Contribute to the development of recruitment /engagement plans for potential client partners providing information to enable efficient and effective planning that meets area/ departmental objectives.</w:t>
            </w:r>
          </w:p>
          <w:p w14:paraId="38EC1727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Act as a key liaison for clients and stakeholders to build relationships and promote the </w:t>
            </w:r>
            <w:proofErr w:type="gramStart"/>
            <w:r w:rsidRPr="00D86A01">
              <w:rPr>
                <w:rFonts w:ascii="Montserrat" w:hAnsi="Montserrat"/>
                <w:bCs/>
              </w:rPr>
              <w:t>School’s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offerings with the target group.</w:t>
            </w:r>
          </w:p>
          <w:p w14:paraId="5440FC72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Apply knowledge and exercise judgement to diagnose client and stakeholder needs and match them to the right London Business School offering.</w:t>
            </w:r>
          </w:p>
          <w:p w14:paraId="5C2193FA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proofErr w:type="spellStart"/>
            <w:r w:rsidRPr="00D86A01">
              <w:rPr>
                <w:rFonts w:ascii="Montserrat" w:hAnsi="Montserrat"/>
                <w:bCs/>
              </w:rPr>
              <w:t>Utilise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 knowledge of client/stakeholder needs to produce materials, in accordance with guidance from more senior colleagues, to be used to create a narrative and increase engagement.</w:t>
            </w:r>
          </w:p>
          <w:p w14:paraId="0F36D39C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Manage client issues and concerns to achieve the best possible outcome for the client and the </w:t>
            </w:r>
            <w:proofErr w:type="gramStart"/>
            <w:r w:rsidRPr="00D86A01">
              <w:rPr>
                <w:rFonts w:ascii="Montserrat" w:hAnsi="Montserrat"/>
                <w:bCs/>
              </w:rPr>
              <w:t>School</w:t>
            </w:r>
            <w:proofErr w:type="gramEnd"/>
            <w:r w:rsidRPr="00D86A01">
              <w:rPr>
                <w:rFonts w:ascii="Montserrat" w:hAnsi="Montserrat"/>
                <w:bCs/>
              </w:rPr>
              <w:t>.</w:t>
            </w:r>
          </w:p>
          <w:p w14:paraId="4560CFD4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Planning </w:t>
            </w:r>
          </w:p>
          <w:p w14:paraId="2E11CEC9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lastRenderedPageBreak/>
              <w:t xml:space="preserve">Contribute to the development of operational plans for the area, providing information to enable efficient and effective planning that meets area/departmental objectives. </w:t>
            </w:r>
          </w:p>
          <w:p w14:paraId="7C36B588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proofErr w:type="spellStart"/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>Programme</w:t>
            </w:r>
            <w:proofErr w:type="spellEnd"/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 Delivery </w:t>
            </w:r>
          </w:p>
          <w:p w14:paraId="59DF0B4E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Plan and deliver a range of London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 in accordance with well-defined </w:t>
            </w:r>
            <w:proofErr w:type="gramStart"/>
            <w:r w:rsidRPr="00D86A01">
              <w:rPr>
                <w:rFonts w:ascii="Montserrat" w:hAnsi="Montserrat"/>
                <w:bCs/>
              </w:rPr>
              <w:t>processes, and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contribute to more complex projects with guidance from Senior Manager and Head of Experiential Learning to ensure the successful delivery of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. </w:t>
            </w:r>
          </w:p>
          <w:p w14:paraId="5CC19490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Create policy documents, course information and/or best practice guides, liaising across teams to gather data and ensuring that guidance and regulations are kept up-to-date and contribute to the delivery of high-quality learning interventions. </w:t>
            </w:r>
          </w:p>
          <w:p w14:paraId="096D415E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Oversee the accurate production of and updates to learning materials across all channels to support the delivery of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. </w:t>
            </w:r>
          </w:p>
          <w:p w14:paraId="3F715996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Support the review and evaluation of designated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 to ensure that delivery remains at the highest possible quality.</w:t>
            </w:r>
          </w:p>
          <w:p w14:paraId="7A86B04C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Drive the completion and maintenance of standard processes to ensure efficiency and consistency across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. </w:t>
            </w:r>
          </w:p>
          <w:p w14:paraId="1C264787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Monitor the development of new techniques, technology and trends in own area and use insights to suggest new ways of working. </w:t>
            </w:r>
          </w:p>
          <w:p w14:paraId="0392B986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Student/Participant Experience </w:t>
            </w:r>
          </w:p>
          <w:p w14:paraId="2EE3F4FD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Support and co-ordination and delivery of world-class learning experiences for stakeholders.</w:t>
            </w:r>
          </w:p>
          <w:p w14:paraId="7A3A674C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Manage the efficient and timely distribution of information to students/ participants/stakeholders using the most effective form of communications. </w:t>
            </w:r>
          </w:p>
          <w:p w14:paraId="2D99C333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Support the development and delivery of feedback activities that contribute to learning enhancements and the continuous improvement of student/ participant/ stakeholder experiences. </w:t>
            </w:r>
          </w:p>
          <w:p w14:paraId="7EE24747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Scheduling/Resource Management </w:t>
            </w:r>
          </w:p>
          <w:p w14:paraId="49D56122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Help to ensure that all scheduling and timetabling activity is as efficient as possible, liaising across teams to ensure that all needs are met effectively. </w:t>
            </w:r>
          </w:p>
          <w:p w14:paraId="19FC3663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Provide support to faculty, team members, and colleagues within area, ensuring the timely provision of information and resources. </w:t>
            </w:r>
          </w:p>
          <w:p w14:paraId="7BBF300E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Analysis and Reporting </w:t>
            </w:r>
          </w:p>
          <w:p w14:paraId="70A37CD9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Create and maintain monitoring mechanisms for key performance indicators, </w:t>
            </w:r>
            <w:proofErr w:type="gramStart"/>
            <w:r w:rsidRPr="00D86A01">
              <w:rPr>
                <w:rFonts w:ascii="Montserrat" w:hAnsi="Montserrat"/>
                <w:bCs/>
              </w:rPr>
              <w:t>e.g.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quality, impact and/or cost of learning interventions. </w:t>
            </w:r>
          </w:p>
          <w:p w14:paraId="4AF98319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Undertake data analysis, developing recommendations to inform planning and decision making to create a more effective student/participant experience. </w:t>
            </w:r>
          </w:p>
          <w:p w14:paraId="61273012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Liaise across the team and other departments to prepare reports to inform review, planning and decision making. </w:t>
            </w:r>
          </w:p>
          <w:p w14:paraId="376C0226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Conduct research to identify prospective clients or stakeholders, and plan/deliver subsequent approaches/outreach plans with senior colleagues.</w:t>
            </w:r>
          </w:p>
          <w:p w14:paraId="459B3CF4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>Supplier/Contract Collaboration</w:t>
            </w:r>
          </w:p>
          <w:p w14:paraId="6F7E2B9D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Help monitor and guide the quality of work delivered by third-party suppliers and agencies against service level agreement to ensure it is to the required standard.</w:t>
            </w:r>
          </w:p>
          <w:p w14:paraId="565C111B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Collaboration </w:t>
            </w:r>
          </w:p>
          <w:p w14:paraId="25092861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Collaborate closely with team members and other departments across the </w:t>
            </w:r>
            <w:proofErr w:type="gramStart"/>
            <w:r w:rsidRPr="00D86A01">
              <w:rPr>
                <w:rFonts w:ascii="Montserrat" w:hAnsi="Montserrat"/>
                <w:bCs/>
              </w:rPr>
              <w:t>School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to enable cross department working, sharing of intelligence, identifying new opportunities and the development of high-impact learning experiences. </w:t>
            </w:r>
          </w:p>
          <w:p w14:paraId="6B5ED678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Provide specialist information and guidance across School departments as necessary.</w:t>
            </w:r>
          </w:p>
          <w:p w14:paraId="3056B381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lastRenderedPageBreak/>
              <w:t xml:space="preserve">Financial Management </w:t>
            </w:r>
          </w:p>
          <w:p w14:paraId="093123B9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Monitor and review financial activity for own area to ensure the accurate completion of standard financial processes within budget and the provision of up-to-date information to support decision making. </w:t>
            </w:r>
          </w:p>
          <w:p w14:paraId="3D342B1A" w14:textId="7777777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Process Improvement </w:t>
            </w:r>
          </w:p>
          <w:p w14:paraId="15665572" w14:textId="0E2A4A6E" w:rsid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Monitor processes, systems and practices within area, plan and carry out regular reviews to identify opportunities for improvement </w:t>
            </w:r>
            <w:proofErr w:type="gramStart"/>
            <w:r w:rsidRPr="00D86A01">
              <w:rPr>
                <w:rFonts w:ascii="Montserrat" w:hAnsi="Montserrat"/>
                <w:bCs/>
              </w:rPr>
              <w:t>in light of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changing needs, feedback and/or current best practice thinking; follow through on improvements once agreed. </w:t>
            </w:r>
          </w:p>
          <w:p w14:paraId="07761D81" w14:textId="1CF80C9F" w:rsidR="004E416F" w:rsidRDefault="004E416F" w:rsidP="004E416F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/>
                <w:bCs/>
              </w:rPr>
            </w:pPr>
          </w:p>
          <w:p w14:paraId="7308EF00" w14:textId="38C5B887" w:rsidR="004E416F" w:rsidRDefault="004E416F" w:rsidP="004E416F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/>
                <w:bCs/>
              </w:rPr>
            </w:pPr>
          </w:p>
          <w:p w14:paraId="1444F1AE" w14:textId="77777777" w:rsidR="004E416F" w:rsidRPr="00D86A01" w:rsidRDefault="004E416F" w:rsidP="004E416F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/>
                <w:bCs/>
              </w:rPr>
            </w:pPr>
          </w:p>
          <w:p w14:paraId="11E8B774" w14:textId="696567A7" w:rsidR="00D86A01" w:rsidRPr="00D86A01" w:rsidRDefault="00D86A01" w:rsidP="00D86A01">
            <w:p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/>
                <w:bCs/>
                <w:sz w:val="22"/>
                <w:lang w:eastAsia="en-US"/>
              </w:rPr>
            </w:pPr>
            <w:r w:rsidRPr="00D86A01">
              <w:rPr>
                <w:rFonts w:ascii="Montserrat" w:hAnsi="Montserrat"/>
                <w:b/>
                <w:bCs/>
                <w:sz w:val="22"/>
                <w:lang w:eastAsia="en-US"/>
              </w:rPr>
              <w:t xml:space="preserve">Change Management </w:t>
            </w:r>
          </w:p>
          <w:p w14:paraId="27D2AA18" w14:textId="77777777" w:rsidR="002F1C22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Champion change by role modelling the </w:t>
            </w:r>
            <w:proofErr w:type="spellStart"/>
            <w:r w:rsidRPr="00D86A01">
              <w:rPr>
                <w:rFonts w:ascii="Montserrat" w:hAnsi="Montserrat"/>
                <w:bCs/>
              </w:rPr>
              <w:t>behaviour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 expected from all </w:t>
            </w:r>
            <w:proofErr w:type="gramStart"/>
            <w:r w:rsidRPr="00D86A01">
              <w:rPr>
                <w:rFonts w:ascii="Montserrat" w:hAnsi="Montserrat"/>
                <w:bCs/>
              </w:rPr>
              <w:t>colleagues, and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follow through on new activities or actions brought about change to help support its successful implementation.</w:t>
            </w:r>
            <w:r w:rsidR="002F1C22" w:rsidRPr="00D86A01">
              <w:rPr>
                <w:rFonts w:ascii="Montserrat" w:hAnsi="Montserrat"/>
                <w:bCs/>
              </w:rPr>
              <w:t xml:space="preserve"> </w:t>
            </w:r>
          </w:p>
          <w:p w14:paraId="57D42319" w14:textId="77777777" w:rsidR="002F1C22" w:rsidRPr="00D86A01" w:rsidRDefault="002F1C22" w:rsidP="00D86A01">
            <w:pPr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</w:pPr>
            <w:r w:rsidRPr="002F1C22">
              <w:rPr>
                <w:rFonts w:ascii="Montserrat" w:hAnsi="Montserrat" w:cs="Arial"/>
                <w:b/>
                <w:sz w:val="22"/>
                <w:szCs w:val="20"/>
                <w:u w:val="single"/>
                <w:lang w:eastAsia="en-US"/>
              </w:rPr>
              <w:t>KPIs:</w:t>
            </w:r>
          </w:p>
          <w:p w14:paraId="005361C2" w14:textId="6FF25C13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Development of </w:t>
            </w:r>
            <w:r w:rsidR="00A032FC">
              <w:rPr>
                <w:rFonts w:ascii="Montserrat" w:hAnsi="Montserrat"/>
                <w:bCs/>
              </w:rPr>
              <w:t xml:space="preserve">solid </w:t>
            </w:r>
            <w:r w:rsidRPr="00D86A01">
              <w:rPr>
                <w:rFonts w:ascii="Montserrat" w:hAnsi="Montserrat"/>
                <w:bCs/>
              </w:rPr>
              <w:t xml:space="preserve">relationships with current and prospective clients. </w:t>
            </w:r>
          </w:p>
          <w:p w14:paraId="5BC9FB26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Exceptional understanding of customer service. </w:t>
            </w:r>
          </w:p>
          <w:p w14:paraId="6EB4C9D5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Contribution to the successful delivery of high-quality London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 xml:space="preserve">. </w:t>
            </w:r>
          </w:p>
          <w:p w14:paraId="28AFEB6A" w14:textId="2C051D18" w:rsidR="00D86A01" w:rsidRPr="00D86A01" w:rsidRDefault="007E1704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>
              <w:rPr>
                <w:rFonts w:ascii="Montserrat" w:hAnsi="Montserrat"/>
                <w:bCs/>
              </w:rPr>
              <w:t xml:space="preserve">Courses </w:t>
            </w:r>
            <w:r w:rsidR="00D86A01" w:rsidRPr="00D86A01">
              <w:rPr>
                <w:rFonts w:ascii="Montserrat" w:hAnsi="Montserrat"/>
                <w:bCs/>
              </w:rPr>
              <w:t xml:space="preserve">delivered on time, on budget and to quality standards and targets. </w:t>
            </w:r>
          </w:p>
          <w:p w14:paraId="7FE6FEDF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Area/team compliance with necessary regulations/processes. </w:t>
            </w:r>
          </w:p>
          <w:p w14:paraId="5BCCA825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Timely and robust co-ordination of all internal and external resources. </w:t>
            </w:r>
          </w:p>
          <w:p w14:paraId="555B8C73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Production of high-quality reports, with the identification of trends and issues. </w:t>
            </w:r>
          </w:p>
          <w:p w14:paraId="3427FF08" w14:textId="77777777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 xml:space="preserve">Improvements to processes and procedures for London </w:t>
            </w:r>
            <w:proofErr w:type="spellStart"/>
            <w:r w:rsidRPr="00D86A01">
              <w:rPr>
                <w:rFonts w:ascii="Montserrat" w:hAnsi="Montserrat"/>
                <w:bCs/>
              </w:rPr>
              <w:t>programmes</w:t>
            </w:r>
            <w:proofErr w:type="spellEnd"/>
            <w:r w:rsidRPr="00D86A01">
              <w:rPr>
                <w:rFonts w:ascii="Montserrat" w:hAnsi="Montserrat"/>
                <w:bCs/>
              </w:rPr>
              <w:t>.</w:t>
            </w:r>
          </w:p>
          <w:p w14:paraId="7D6F94EB" w14:textId="539AE931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Development of</w:t>
            </w:r>
            <w:r w:rsidR="00476291">
              <w:rPr>
                <w:rFonts w:ascii="Montserrat" w:hAnsi="Montserrat"/>
                <w:bCs/>
              </w:rPr>
              <w:t xml:space="preserve"> professional and </w:t>
            </w:r>
            <w:r w:rsidR="00CD2BB2">
              <w:rPr>
                <w:rFonts w:ascii="Montserrat" w:hAnsi="Montserrat"/>
                <w:bCs/>
              </w:rPr>
              <w:t>strong</w:t>
            </w:r>
            <w:r w:rsidRPr="00D86A01">
              <w:rPr>
                <w:rFonts w:ascii="Montserrat" w:hAnsi="Montserrat"/>
                <w:bCs/>
              </w:rPr>
              <w:t xml:space="preserve"> relationships within and outside the team</w:t>
            </w:r>
            <w:r w:rsidR="005F76D5">
              <w:rPr>
                <w:rFonts w:ascii="Montserrat" w:hAnsi="Montserrat"/>
                <w:bCs/>
              </w:rPr>
              <w:t>.</w:t>
            </w:r>
            <w:r w:rsidRPr="00D86A01">
              <w:rPr>
                <w:rFonts w:ascii="Montserrat" w:hAnsi="Montserrat"/>
                <w:bCs/>
              </w:rPr>
              <w:t xml:space="preserve"> </w:t>
            </w:r>
          </w:p>
          <w:p w14:paraId="3CB0F25C" w14:textId="593B94F2" w:rsidR="00D86A01" w:rsidRPr="00D86A01" w:rsidRDefault="00D86A01" w:rsidP="00D86A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Montserrat" w:hAnsi="Montserrat"/>
                <w:bCs/>
              </w:rPr>
            </w:pPr>
            <w:r w:rsidRPr="00D86A01">
              <w:rPr>
                <w:rFonts w:ascii="Montserrat" w:hAnsi="Montserrat"/>
                <w:bCs/>
              </w:rPr>
              <w:t>Positive feedback from students, colleagues</w:t>
            </w:r>
            <w:r w:rsidR="00E44AC7">
              <w:rPr>
                <w:rFonts w:ascii="Montserrat" w:hAnsi="Montserrat"/>
                <w:bCs/>
              </w:rPr>
              <w:t xml:space="preserve">, </w:t>
            </w:r>
            <w:proofErr w:type="gramStart"/>
            <w:r w:rsidR="00E44AC7">
              <w:rPr>
                <w:rFonts w:ascii="Montserrat" w:hAnsi="Montserrat"/>
                <w:bCs/>
              </w:rPr>
              <w:t>clients</w:t>
            </w:r>
            <w:proofErr w:type="gramEnd"/>
            <w:r w:rsidRPr="00D86A01">
              <w:rPr>
                <w:rFonts w:ascii="Montserrat" w:hAnsi="Montserrat"/>
                <w:bCs/>
              </w:rPr>
              <w:t xml:space="preserve"> and </w:t>
            </w:r>
            <w:r w:rsidR="005F76D5">
              <w:rPr>
                <w:rFonts w:ascii="Montserrat" w:hAnsi="Montserrat"/>
                <w:bCs/>
              </w:rPr>
              <w:t xml:space="preserve">other </w:t>
            </w:r>
            <w:r w:rsidRPr="00D86A01">
              <w:rPr>
                <w:rFonts w:ascii="Montserrat" w:hAnsi="Montserrat"/>
                <w:bCs/>
              </w:rPr>
              <w:t>stakeholders.</w:t>
            </w:r>
          </w:p>
          <w:p w14:paraId="6B4E77FB" w14:textId="350A5C02" w:rsidR="00D86A01" w:rsidRPr="00D86A01" w:rsidRDefault="00D86A01" w:rsidP="00E3720B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Montserrat" w:hAnsi="Montserrat"/>
                <w:bCs/>
              </w:rPr>
            </w:pPr>
          </w:p>
          <w:tbl>
            <w:tblPr>
              <w:tblStyle w:val="TableGrid"/>
              <w:tblpPr w:leftFromText="180" w:rightFromText="180" w:vertAnchor="text" w:horzAnchor="margin" w:tblpX="-147" w:tblpY="52"/>
              <w:tblW w:w="9634" w:type="dxa"/>
              <w:tblLook w:val="04A0" w:firstRow="1" w:lastRow="0" w:firstColumn="1" w:lastColumn="0" w:noHBand="0" w:noVBand="1"/>
            </w:tblPr>
            <w:tblGrid>
              <w:gridCol w:w="9634"/>
            </w:tblGrid>
            <w:tr w:rsidR="00E3720B" w:rsidRPr="00795615" w14:paraId="0F851DB0" w14:textId="77777777" w:rsidTr="00E3720B">
              <w:trPr>
                <w:trHeight w:val="416"/>
              </w:trPr>
              <w:tc>
                <w:tcPr>
                  <w:tcW w:w="9634" w:type="dxa"/>
                  <w:shd w:val="clear" w:color="auto" w:fill="001E62"/>
                </w:tcPr>
                <w:p w14:paraId="198E9F61" w14:textId="77777777" w:rsidR="00E3720B" w:rsidRPr="00795615" w:rsidRDefault="00E3720B" w:rsidP="00E3720B">
                  <w:pPr>
                    <w:rPr>
                      <w:rFonts w:ascii="Montserrat" w:hAnsi="Montserrat" w:cs="Arial"/>
                      <w:b/>
                      <w:sz w:val="22"/>
                      <w:szCs w:val="20"/>
                      <w:lang w:eastAsia="en-US"/>
                    </w:rPr>
                  </w:pPr>
                  <w:r w:rsidRPr="00795615">
                    <w:rPr>
                      <w:rFonts w:ascii="Montserrat" w:hAnsi="Montserrat" w:cs="Arial"/>
                      <w:b/>
                      <w:color w:val="FFFFFF" w:themeColor="background1"/>
                      <w:sz w:val="22"/>
                      <w:szCs w:val="20"/>
                      <w:lang w:eastAsia="en-US"/>
                    </w:rPr>
                    <w:t xml:space="preserve">Knowledge/Qualifications/Skills/Experience required </w:t>
                  </w:r>
                </w:p>
              </w:tc>
            </w:tr>
            <w:tr w:rsidR="00E3720B" w:rsidRPr="002F1C22" w14:paraId="0B8E53E2" w14:textId="77777777" w:rsidTr="00E3720B">
              <w:trPr>
                <w:trHeight w:val="1086"/>
              </w:trPr>
              <w:tc>
                <w:tcPr>
                  <w:tcW w:w="9634" w:type="dxa"/>
                </w:tcPr>
                <w:p w14:paraId="00D0AD6D" w14:textId="77777777" w:rsidR="00E3720B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 xml:space="preserve">Bachelor’s degree or equivalent experience. </w:t>
                  </w:r>
                </w:p>
                <w:p w14:paraId="6099E2D2" w14:textId="550C48B9" w:rsidR="00E3720B" w:rsidRPr="00D86A01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 xml:space="preserve">Excellent stakeholder engagement skills with experience of effectively working with a large range of different </w:t>
                  </w:r>
                  <w:r>
                    <w:rPr>
                      <w:rFonts w:ascii="Montserrat" w:hAnsi="Montserrat"/>
                      <w:bCs/>
                    </w:rPr>
                    <w:t>interna</w:t>
                  </w:r>
                  <w:r w:rsidR="00C46891">
                    <w:rPr>
                      <w:rFonts w:ascii="Montserrat" w:hAnsi="Montserrat"/>
                      <w:bCs/>
                    </w:rPr>
                    <w:t>l</w:t>
                  </w:r>
                  <w:r>
                    <w:rPr>
                      <w:rFonts w:ascii="Montserrat" w:hAnsi="Montserrat"/>
                      <w:bCs/>
                    </w:rPr>
                    <w:t xml:space="preserve"> and external </w:t>
                  </w:r>
                  <w:r w:rsidRPr="00D86A01">
                    <w:rPr>
                      <w:rFonts w:ascii="Montserrat" w:hAnsi="Montserrat"/>
                      <w:bCs/>
                    </w:rPr>
                    <w:t xml:space="preserve">stakeholders. </w:t>
                  </w:r>
                </w:p>
                <w:p w14:paraId="0A9F8349" w14:textId="77777777" w:rsidR="00E3720B" w:rsidRPr="00D86A01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 xml:space="preserve">Experience of using software related to own team or department to extract, </w:t>
                  </w:r>
                  <w:proofErr w:type="spellStart"/>
                  <w:proofErr w:type="gramStart"/>
                  <w:r w:rsidRPr="00D86A01">
                    <w:rPr>
                      <w:rFonts w:ascii="Montserrat" w:hAnsi="Montserrat"/>
                      <w:bCs/>
                    </w:rPr>
                    <w:t>analys</w:t>
                  </w:r>
                  <w:r>
                    <w:rPr>
                      <w:rFonts w:ascii="Montserrat" w:hAnsi="Montserrat"/>
                      <w:bCs/>
                    </w:rPr>
                    <w:t>e</w:t>
                  </w:r>
                  <w:proofErr w:type="spellEnd"/>
                  <w:proofErr w:type="gramEnd"/>
                  <w:r w:rsidRPr="00D86A01">
                    <w:rPr>
                      <w:rFonts w:ascii="Montserrat" w:hAnsi="Montserrat"/>
                      <w:bCs/>
                    </w:rPr>
                    <w:t xml:space="preserve"> and report on data. </w:t>
                  </w:r>
                </w:p>
                <w:p w14:paraId="247C432A" w14:textId="77777777" w:rsidR="00E3720B" w:rsidRPr="005F76D5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>
                    <w:rPr>
                      <w:rFonts w:ascii="Montserrat" w:hAnsi="Montserrat"/>
                      <w:bCs/>
                    </w:rPr>
                    <w:t xml:space="preserve">Exceptional </w:t>
                  </w:r>
                  <w:r w:rsidRPr="00D86A01">
                    <w:rPr>
                      <w:rFonts w:ascii="Montserrat" w:hAnsi="Montserrat"/>
                      <w:bCs/>
                    </w:rPr>
                    <w:t>project management skills</w:t>
                  </w:r>
                  <w:r>
                    <w:rPr>
                      <w:rFonts w:ascii="Montserrat" w:hAnsi="Montserrat"/>
                      <w:bCs/>
                    </w:rPr>
                    <w:t xml:space="preserve">, including </w:t>
                  </w:r>
                  <w:r w:rsidRPr="005F76D5">
                    <w:rPr>
                      <w:rFonts w:ascii="Montserrat" w:hAnsi="Montserrat"/>
                      <w:bCs/>
                    </w:rPr>
                    <w:t>meticulous attention to detail</w:t>
                  </w:r>
                  <w:r>
                    <w:rPr>
                      <w:rFonts w:ascii="Montserrat" w:hAnsi="Montserrat"/>
                      <w:bCs/>
                    </w:rPr>
                    <w:t>.</w:t>
                  </w:r>
                </w:p>
                <w:p w14:paraId="4E296C36" w14:textId="77777777" w:rsidR="00E3720B" w:rsidRPr="00D86A01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>
                    <w:rPr>
                      <w:rFonts w:ascii="Montserrat" w:hAnsi="Montserrat"/>
                      <w:bCs/>
                    </w:rPr>
                    <w:t>Strong a</w:t>
                  </w:r>
                  <w:r w:rsidRPr="00D86A01">
                    <w:rPr>
                      <w:rFonts w:ascii="Montserrat" w:hAnsi="Montserrat"/>
                      <w:bCs/>
                    </w:rPr>
                    <w:t xml:space="preserve">bility to </w:t>
                  </w:r>
                  <w:r>
                    <w:rPr>
                      <w:rFonts w:ascii="Montserrat" w:hAnsi="Montserrat"/>
                      <w:bCs/>
                    </w:rPr>
                    <w:t xml:space="preserve">source and </w:t>
                  </w:r>
                  <w:r w:rsidRPr="00D86A01">
                    <w:rPr>
                      <w:rFonts w:ascii="Montserrat" w:hAnsi="Montserrat"/>
                      <w:bCs/>
                    </w:rPr>
                    <w:t>manage a portfolio of clients.</w:t>
                  </w:r>
                </w:p>
                <w:p w14:paraId="2629382C" w14:textId="77777777" w:rsidR="00E3720B" w:rsidRPr="00D86A01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 xml:space="preserve">Strong analytical and problem-solving skills. </w:t>
                  </w:r>
                </w:p>
                <w:p w14:paraId="165CC0AF" w14:textId="77777777" w:rsidR="00E3720B" w:rsidRPr="005F76D5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 w:cs="Arial"/>
                      <w:szCs w:val="20"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>Demonstrable knowledge of business education and/or London business issues.</w:t>
                  </w:r>
                </w:p>
                <w:p w14:paraId="17808D33" w14:textId="77777777" w:rsidR="00E3720B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 w:cs="Arial"/>
                      <w:szCs w:val="20"/>
                    </w:rPr>
                  </w:pPr>
                  <w:r>
                    <w:rPr>
                      <w:rFonts w:ascii="Montserrat" w:hAnsi="Montserrat" w:cs="Arial"/>
                      <w:szCs w:val="20"/>
                    </w:rPr>
                    <w:t xml:space="preserve">Sound understanding of post- study employment trends is desirable, but not essential. </w:t>
                  </w:r>
                </w:p>
                <w:p w14:paraId="12C86CE1" w14:textId="77777777" w:rsidR="00E3720B" w:rsidRPr="00D86A01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/>
                      <w:bCs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>Excellent communication and presentation skills</w:t>
                  </w:r>
                  <w:r>
                    <w:rPr>
                      <w:rFonts w:ascii="Montserrat" w:hAnsi="Montserrat"/>
                      <w:bCs/>
                    </w:rPr>
                    <w:t>.</w:t>
                  </w:r>
                </w:p>
                <w:p w14:paraId="7F58C519" w14:textId="6D9D6B08" w:rsidR="00E3720B" w:rsidRPr="00E3720B" w:rsidRDefault="00E3720B" w:rsidP="00E3720B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100" w:line="241" w:lineRule="atLeast"/>
                    <w:rPr>
                      <w:rFonts w:ascii="Montserrat" w:hAnsi="Montserrat" w:cs="Arial"/>
                      <w:szCs w:val="20"/>
                    </w:rPr>
                  </w:pPr>
                  <w:r w:rsidRPr="00D86A01">
                    <w:rPr>
                      <w:rFonts w:ascii="Montserrat" w:hAnsi="Montserrat"/>
                      <w:bCs/>
                    </w:rPr>
                    <w:t>Good negotiation / influencing skills.</w:t>
                  </w:r>
                </w:p>
              </w:tc>
            </w:tr>
          </w:tbl>
          <w:p w14:paraId="72AB74AE" w14:textId="2BE0E427" w:rsidR="002F1C22" w:rsidRPr="00761CF1" w:rsidRDefault="002F1C22" w:rsidP="00E3720B">
            <w:pPr>
              <w:pStyle w:val="ListParagraph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b/>
                <w:szCs w:val="20"/>
              </w:rPr>
            </w:pPr>
          </w:p>
        </w:tc>
      </w:tr>
    </w:tbl>
    <w:p w14:paraId="50148D2E" w14:textId="3F7907BC" w:rsidR="005F76D5" w:rsidRDefault="005F76D5" w:rsidP="00795615"/>
    <w:p w14:paraId="4EC80CFB" w14:textId="76EB89D9" w:rsidR="002F1C22" w:rsidRDefault="002F1C22" w:rsidP="00795615"/>
    <w:p w14:paraId="6C343118" w14:textId="77777777" w:rsidR="00D80AF2" w:rsidRDefault="00D80AF2" w:rsidP="00D80AF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D80AF2" w14:paraId="70E697F6" w14:textId="77777777" w:rsidTr="00D80AF2">
        <w:trPr>
          <w:trHeight w:val="416"/>
        </w:trPr>
        <w:tc>
          <w:tcPr>
            <w:tcW w:w="8897" w:type="dxa"/>
            <w:shd w:val="clear" w:color="auto" w:fill="001E61" w:themeFill="text1"/>
          </w:tcPr>
          <w:p w14:paraId="294C585C" w14:textId="77777777" w:rsidR="00D80AF2" w:rsidRPr="008F12C7" w:rsidRDefault="00D80AF2" w:rsidP="00C73404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 xml:space="preserve">Resources including team management </w:t>
            </w:r>
          </w:p>
        </w:tc>
      </w:tr>
      <w:tr w:rsidR="00D80AF2" w14:paraId="3F1B92BB" w14:textId="77777777" w:rsidTr="00C73404">
        <w:trPr>
          <w:trHeight w:val="1086"/>
        </w:trPr>
        <w:tc>
          <w:tcPr>
            <w:tcW w:w="8897" w:type="dxa"/>
          </w:tcPr>
          <w:p w14:paraId="5960B0B3" w14:textId="77777777" w:rsidR="00D80AF2" w:rsidRPr="008F12C7" w:rsidRDefault="00D80AF2" w:rsidP="00C73404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N/A</w:t>
            </w:r>
          </w:p>
          <w:p w14:paraId="6D67B870" w14:textId="77777777" w:rsidR="00D80AF2" w:rsidRPr="008F12C7" w:rsidRDefault="00D80AF2" w:rsidP="00C73404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1FD8D518" w14:textId="77777777" w:rsidR="00D80AF2" w:rsidRDefault="00D80AF2" w:rsidP="00D80AF2">
      <w:pPr>
        <w:rPr>
          <w:rFonts w:ascii="HelveticaNeueLT Std" w:hAnsi="HelveticaNeueLT Std" w:cs="Arial"/>
          <w:b/>
          <w:szCs w:val="20"/>
          <w:lang w:eastAsia="en-US"/>
        </w:rPr>
      </w:pPr>
    </w:p>
    <w:p w14:paraId="5C73C64B" w14:textId="77777777" w:rsidR="00D80AF2" w:rsidRDefault="00D80AF2" w:rsidP="00D80AF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747"/>
        <w:tblW w:w="0" w:type="auto"/>
        <w:tblLook w:val="04A0" w:firstRow="1" w:lastRow="0" w:firstColumn="1" w:lastColumn="0" w:noHBand="0" w:noVBand="1"/>
      </w:tblPr>
      <w:tblGrid>
        <w:gridCol w:w="2515"/>
        <w:gridCol w:w="6417"/>
      </w:tblGrid>
      <w:tr w:rsidR="00D80AF2" w14:paraId="6CD1A180" w14:textId="77777777" w:rsidTr="00C0158A">
        <w:trPr>
          <w:trHeight w:val="685"/>
        </w:trPr>
        <w:tc>
          <w:tcPr>
            <w:tcW w:w="2515" w:type="dxa"/>
            <w:shd w:val="clear" w:color="auto" w:fill="001E61" w:themeFill="text1"/>
          </w:tcPr>
          <w:p w14:paraId="608B1D83" w14:textId="77777777" w:rsidR="00D80AF2" w:rsidRPr="008F12C7" w:rsidRDefault="00D80AF2" w:rsidP="00C0158A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6417" w:type="dxa"/>
          </w:tcPr>
          <w:p w14:paraId="53F80481" w14:textId="77777777" w:rsidR="00D80AF2" w:rsidRPr="008F12C7" w:rsidRDefault="00D80AF2" w:rsidP="00C0158A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N/A</w:t>
            </w:r>
          </w:p>
        </w:tc>
      </w:tr>
      <w:tr w:rsidR="00D80AF2" w14:paraId="12FEC59E" w14:textId="77777777" w:rsidTr="00C0158A">
        <w:trPr>
          <w:trHeight w:val="685"/>
        </w:trPr>
        <w:tc>
          <w:tcPr>
            <w:tcW w:w="2515" w:type="dxa"/>
            <w:shd w:val="clear" w:color="auto" w:fill="001E61" w:themeFill="text1"/>
          </w:tcPr>
          <w:p w14:paraId="412DA722" w14:textId="77777777" w:rsidR="00D80AF2" w:rsidRPr="008F12C7" w:rsidRDefault="00D80AF2" w:rsidP="00C0158A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6417" w:type="dxa"/>
          </w:tcPr>
          <w:p w14:paraId="0F71921B" w14:textId="77777777" w:rsidR="00D80AF2" w:rsidRPr="008F12C7" w:rsidRDefault="00D80AF2" w:rsidP="00C0158A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N/A</w:t>
            </w:r>
          </w:p>
        </w:tc>
      </w:tr>
      <w:tr w:rsidR="00D80AF2" w14:paraId="73F7D816" w14:textId="77777777" w:rsidTr="00C0158A">
        <w:trPr>
          <w:trHeight w:val="685"/>
        </w:trPr>
        <w:tc>
          <w:tcPr>
            <w:tcW w:w="2515" w:type="dxa"/>
            <w:shd w:val="clear" w:color="auto" w:fill="001E61" w:themeFill="text1"/>
          </w:tcPr>
          <w:p w14:paraId="52EFED87" w14:textId="77777777" w:rsidR="00D80AF2" w:rsidRPr="008F12C7" w:rsidRDefault="00D80AF2" w:rsidP="00C0158A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6417" w:type="dxa"/>
          </w:tcPr>
          <w:p w14:paraId="5978378C" w14:textId="748F0B18" w:rsidR="00D80AF2" w:rsidRPr="008F12C7" w:rsidRDefault="001332B9" w:rsidP="00C0158A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19</w:t>
            </w:r>
            <w:r w:rsidR="00D80AF2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/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06</w:t>
            </w:r>
            <w:r w:rsidR="00D80AF2"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/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24</w:t>
            </w:r>
          </w:p>
        </w:tc>
      </w:tr>
    </w:tbl>
    <w:p w14:paraId="47F9FFEC" w14:textId="77777777" w:rsidR="004E24E2" w:rsidRPr="00B80D24" w:rsidRDefault="004E24E2" w:rsidP="00795615"/>
    <w:sectPr w:rsidR="004E24E2" w:rsidRPr="00B80D24" w:rsidSect="0023349D">
      <w:footerReference w:type="default" r:id="rId11"/>
      <w:headerReference w:type="first" r:id="rId12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D00E" w14:textId="77777777" w:rsidR="00E53258" w:rsidRDefault="00E53258" w:rsidP="006E667B">
      <w:r>
        <w:separator/>
      </w:r>
    </w:p>
    <w:p w14:paraId="2A375B6E" w14:textId="77777777" w:rsidR="00E53258" w:rsidRDefault="00E53258" w:rsidP="006E667B"/>
    <w:p w14:paraId="28BB57F4" w14:textId="77777777" w:rsidR="00E53258" w:rsidRDefault="00E53258" w:rsidP="006E667B"/>
  </w:endnote>
  <w:endnote w:type="continuationSeparator" w:id="0">
    <w:p w14:paraId="00291A96" w14:textId="77777777" w:rsidR="00E53258" w:rsidRDefault="00E53258" w:rsidP="006E667B">
      <w:r>
        <w:continuationSeparator/>
      </w:r>
    </w:p>
    <w:p w14:paraId="43EDA0CB" w14:textId="77777777" w:rsidR="00E53258" w:rsidRDefault="00E53258" w:rsidP="006E667B"/>
    <w:p w14:paraId="0E3E5D59" w14:textId="77777777" w:rsidR="00E53258" w:rsidRDefault="00E53258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T Sectra Fine BoldSt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01C" w14:textId="0737F120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617C1">
      <w:rPr>
        <w:noProof/>
      </w:rPr>
      <w:t>5</w:t>
    </w:r>
    <w:r>
      <w:rPr>
        <w:noProof/>
      </w:rPr>
      <w:fldChar w:fldCharType="end"/>
    </w:r>
  </w:p>
  <w:p w14:paraId="65D0DCFD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1DD9" w14:textId="77777777" w:rsidR="00E53258" w:rsidRDefault="00E53258" w:rsidP="006E667B">
      <w:r>
        <w:separator/>
      </w:r>
    </w:p>
    <w:p w14:paraId="50C3D889" w14:textId="77777777" w:rsidR="00E53258" w:rsidRDefault="00E53258" w:rsidP="006E667B"/>
    <w:p w14:paraId="0456DD49" w14:textId="77777777" w:rsidR="00E53258" w:rsidRDefault="00E53258" w:rsidP="006E667B"/>
  </w:footnote>
  <w:footnote w:type="continuationSeparator" w:id="0">
    <w:p w14:paraId="5F8BD900" w14:textId="77777777" w:rsidR="00E53258" w:rsidRDefault="00E53258" w:rsidP="006E667B">
      <w:r>
        <w:continuationSeparator/>
      </w:r>
    </w:p>
    <w:p w14:paraId="1310B596" w14:textId="77777777" w:rsidR="00E53258" w:rsidRDefault="00E53258" w:rsidP="006E667B"/>
    <w:p w14:paraId="0312F424" w14:textId="77777777" w:rsidR="00E53258" w:rsidRDefault="00E53258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637E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B00207D" wp14:editId="5EEB2A02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1D33CBB7" w14:textId="77777777" w:rsidR="00A26F3D" w:rsidRDefault="00A26F3D">
    <w:pPr>
      <w:pStyle w:val="Header"/>
    </w:pPr>
  </w:p>
  <w:p w14:paraId="671AF761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191F5F8B"/>
    <w:multiLevelType w:val="hybridMultilevel"/>
    <w:tmpl w:val="C8B8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BB94419"/>
    <w:multiLevelType w:val="hybridMultilevel"/>
    <w:tmpl w:val="7C0EB5E8"/>
    <w:lvl w:ilvl="0" w:tplc="03AE71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860719">
    <w:abstractNumId w:val="4"/>
  </w:num>
  <w:num w:numId="2" w16cid:durableId="689062475">
    <w:abstractNumId w:val="0"/>
  </w:num>
  <w:num w:numId="3" w16cid:durableId="378671886">
    <w:abstractNumId w:val="1"/>
  </w:num>
  <w:num w:numId="4" w16cid:durableId="1098401674">
    <w:abstractNumId w:val="2"/>
  </w:num>
  <w:num w:numId="5" w16cid:durableId="752825041">
    <w:abstractNumId w:val="5"/>
  </w:num>
  <w:num w:numId="6" w16cid:durableId="17854894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321BD"/>
    <w:rsid w:val="000617C1"/>
    <w:rsid w:val="00065AD3"/>
    <w:rsid w:val="000A4D1E"/>
    <w:rsid w:val="000B4D06"/>
    <w:rsid w:val="000D47AF"/>
    <w:rsid w:val="000E1C56"/>
    <w:rsid w:val="00111AE3"/>
    <w:rsid w:val="00126D78"/>
    <w:rsid w:val="00132B02"/>
    <w:rsid w:val="001332B9"/>
    <w:rsid w:val="00157DA6"/>
    <w:rsid w:val="00163141"/>
    <w:rsid w:val="00176E20"/>
    <w:rsid w:val="001A26D5"/>
    <w:rsid w:val="001C194F"/>
    <w:rsid w:val="00202BC6"/>
    <w:rsid w:val="002157A4"/>
    <w:rsid w:val="0023349D"/>
    <w:rsid w:val="00243B94"/>
    <w:rsid w:val="00293801"/>
    <w:rsid w:val="002F1C22"/>
    <w:rsid w:val="002F2A4A"/>
    <w:rsid w:val="0030557D"/>
    <w:rsid w:val="003069F7"/>
    <w:rsid w:val="00325C54"/>
    <w:rsid w:val="003653E7"/>
    <w:rsid w:val="0036781E"/>
    <w:rsid w:val="0039778B"/>
    <w:rsid w:val="003C577E"/>
    <w:rsid w:val="003C791C"/>
    <w:rsid w:val="003F0AD4"/>
    <w:rsid w:val="00423B18"/>
    <w:rsid w:val="0042642B"/>
    <w:rsid w:val="00441F00"/>
    <w:rsid w:val="004502CB"/>
    <w:rsid w:val="00476291"/>
    <w:rsid w:val="00481070"/>
    <w:rsid w:val="004B4B46"/>
    <w:rsid w:val="004B4C2F"/>
    <w:rsid w:val="004D159F"/>
    <w:rsid w:val="004E24E2"/>
    <w:rsid w:val="004E416F"/>
    <w:rsid w:val="00525269"/>
    <w:rsid w:val="00532E51"/>
    <w:rsid w:val="0054085F"/>
    <w:rsid w:val="00540AB3"/>
    <w:rsid w:val="00546A3D"/>
    <w:rsid w:val="00547738"/>
    <w:rsid w:val="00552434"/>
    <w:rsid w:val="00561383"/>
    <w:rsid w:val="00575995"/>
    <w:rsid w:val="0058023E"/>
    <w:rsid w:val="005A3827"/>
    <w:rsid w:val="005E0038"/>
    <w:rsid w:val="005F76D5"/>
    <w:rsid w:val="005F7FCA"/>
    <w:rsid w:val="00643AD8"/>
    <w:rsid w:val="00670EE5"/>
    <w:rsid w:val="0067240E"/>
    <w:rsid w:val="006B2235"/>
    <w:rsid w:val="006E667B"/>
    <w:rsid w:val="006F20E8"/>
    <w:rsid w:val="00722A08"/>
    <w:rsid w:val="0072596A"/>
    <w:rsid w:val="00732970"/>
    <w:rsid w:val="0073305F"/>
    <w:rsid w:val="00735D24"/>
    <w:rsid w:val="00740553"/>
    <w:rsid w:val="007902D4"/>
    <w:rsid w:val="00795615"/>
    <w:rsid w:val="007C0739"/>
    <w:rsid w:val="007E1704"/>
    <w:rsid w:val="007E7814"/>
    <w:rsid w:val="007F0246"/>
    <w:rsid w:val="007F03E6"/>
    <w:rsid w:val="00821E1E"/>
    <w:rsid w:val="0082361A"/>
    <w:rsid w:val="008707B3"/>
    <w:rsid w:val="008A0D70"/>
    <w:rsid w:val="008F769B"/>
    <w:rsid w:val="008F7718"/>
    <w:rsid w:val="00904F49"/>
    <w:rsid w:val="00905369"/>
    <w:rsid w:val="0092746D"/>
    <w:rsid w:val="0094275B"/>
    <w:rsid w:val="009428DD"/>
    <w:rsid w:val="0094749E"/>
    <w:rsid w:val="00973853"/>
    <w:rsid w:val="009A6137"/>
    <w:rsid w:val="009A6D19"/>
    <w:rsid w:val="009F5B72"/>
    <w:rsid w:val="00A032FC"/>
    <w:rsid w:val="00A26F3D"/>
    <w:rsid w:val="00A34AFE"/>
    <w:rsid w:val="00A60D20"/>
    <w:rsid w:val="00A92A6B"/>
    <w:rsid w:val="00A93CD8"/>
    <w:rsid w:val="00B80D24"/>
    <w:rsid w:val="00BC7AD4"/>
    <w:rsid w:val="00BF0194"/>
    <w:rsid w:val="00C0158A"/>
    <w:rsid w:val="00C23E19"/>
    <w:rsid w:val="00C36BCE"/>
    <w:rsid w:val="00C46891"/>
    <w:rsid w:val="00C56F98"/>
    <w:rsid w:val="00C841B5"/>
    <w:rsid w:val="00CD15A8"/>
    <w:rsid w:val="00CD2BB2"/>
    <w:rsid w:val="00CF4059"/>
    <w:rsid w:val="00D01F88"/>
    <w:rsid w:val="00D1609E"/>
    <w:rsid w:val="00D2280D"/>
    <w:rsid w:val="00D24C22"/>
    <w:rsid w:val="00D25FEA"/>
    <w:rsid w:val="00D53881"/>
    <w:rsid w:val="00D67411"/>
    <w:rsid w:val="00D80AF2"/>
    <w:rsid w:val="00D83DE5"/>
    <w:rsid w:val="00D85467"/>
    <w:rsid w:val="00D85A48"/>
    <w:rsid w:val="00D86A01"/>
    <w:rsid w:val="00D925F7"/>
    <w:rsid w:val="00DA21F2"/>
    <w:rsid w:val="00DC36F9"/>
    <w:rsid w:val="00DE0AFB"/>
    <w:rsid w:val="00DE3DB1"/>
    <w:rsid w:val="00E24033"/>
    <w:rsid w:val="00E3720B"/>
    <w:rsid w:val="00E40805"/>
    <w:rsid w:val="00E44AC7"/>
    <w:rsid w:val="00E53258"/>
    <w:rsid w:val="00E61105"/>
    <w:rsid w:val="00EB135C"/>
    <w:rsid w:val="00EE38B1"/>
    <w:rsid w:val="00F030C0"/>
    <w:rsid w:val="00FC36DC"/>
    <w:rsid w:val="00FD6CCE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F9086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8A0D70"/>
    <w:pPr>
      <w:numPr>
        <w:numId w:val="5"/>
      </w:numPr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2B8C23DC2BB448BE48E3F7506F5D8" ma:contentTypeVersion="14" ma:contentTypeDescription="Create a new document." ma:contentTypeScope="" ma:versionID="cdd80611aecf8a080e43bb2323b8e3dd">
  <xsd:schema xmlns:xsd="http://www.w3.org/2001/XMLSchema" xmlns:xs="http://www.w3.org/2001/XMLSchema" xmlns:p="http://schemas.microsoft.com/office/2006/metadata/properties" xmlns:ns1="http://schemas.microsoft.com/sharepoint/v3" xmlns:ns3="8fcd17b3-4132-4a53-9d33-4f178393145c" xmlns:ns4="ae721322-3e0f-4f62-bc5d-155b21d8a15f" targetNamespace="http://schemas.microsoft.com/office/2006/metadata/properties" ma:root="true" ma:fieldsID="07fa455b8bff430c375927d3ce7b4429" ns1:_="" ns3:_="" ns4:_="">
    <xsd:import namespace="http://schemas.microsoft.com/sharepoint/v3"/>
    <xsd:import namespace="8fcd17b3-4132-4a53-9d33-4f178393145c"/>
    <xsd:import namespace="ae721322-3e0f-4f62-bc5d-155b21d8a1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17b3-4132-4a53-9d33-4f178393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1322-3e0f-4f62-bc5d-155b21d8a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31569-7328-42C1-BEA3-E4BFBB36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AC02D-3583-4972-A54D-CB38AC11D9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22F88B-E315-44FF-B076-472427B109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E4B11E-7A88-4D1C-B6E1-938E052AD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cd17b3-4132-4a53-9d33-4f178393145c"/>
    <ds:schemaRef ds:uri="ae721322-3e0f-4f62-bc5d-155b21d8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Lucy Welch</cp:lastModifiedBy>
  <cp:revision>2</cp:revision>
  <dcterms:created xsi:type="dcterms:W3CDTF">2024-07-18T15:09:00Z</dcterms:created>
  <dcterms:modified xsi:type="dcterms:W3CDTF">2024-07-18T15:09:00Z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0x010100B282B8C23DC2BB448BE48E3F7506F5D8</vt:lpwstr>
  </property>
</Properties>
</file>